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pPr>
        <w:jc w:val="center"/>
        <w:tabs>
          <w:tab w:val="left" w:pos="360" w:leader="none"/>
        </w:tabs>
        <w:rPr>
          <w:b/>
          <w:bCs/>
        </w:rPr>
      </w:pPr>
      <w:r>
        <w:rPr>
          <w:b/>
          <w:bCs/>
        </w:rPr>
        <w:t xml:space="preserve">ТЕХНИЧЕСКОЕ ЗАДАНИЕ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tabs>
          <w:tab w:val="left" w:pos="360" w:leader="none"/>
        </w:tabs>
        <w:rPr>
          <w:bCs/>
        </w:rPr>
      </w:pPr>
      <w:r>
        <w:rPr>
          <w:bCs/>
        </w:rPr>
        <w:t xml:space="preserve">на оказание услуг по лоту</w:t>
      </w:r>
      <w:r>
        <w:rPr>
          <w:bCs/>
        </w:rPr>
      </w:r>
      <w:r>
        <w:rPr>
          <w:bCs/>
        </w:rPr>
      </w:r>
    </w:p>
    <w:p>
      <w:pPr>
        <w:jc w:val="center"/>
        <w:tabs>
          <w:tab w:val="left" w:pos="360" w:leader="none"/>
        </w:tabs>
        <w:rPr>
          <w:bCs/>
          <w:i/>
          <w:u w:val="single"/>
        </w:rPr>
      </w:pPr>
      <w:r>
        <w:rPr>
          <w:bCs/>
          <w:i/>
          <w:u w:val="single"/>
        </w:rPr>
        <w:t xml:space="preserve">610.26.00000 «</w:t>
      </w:r>
      <w:bookmarkStart w:id="0" w:name="_Hlk162268628"/>
      <w:r>
        <w:rPr>
          <w:bCs/>
          <w:i/>
          <w:u w:val="single"/>
        </w:rPr>
        <w:t xml:space="preserve">Приобретение услуг доступа к справочно-правовой системе «КонсультантПлюс</w:t>
      </w:r>
      <w:bookmarkEnd w:id="0"/>
      <w:r>
        <w:rPr>
          <w:bCs/>
          <w:i/>
          <w:u w:val="single"/>
        </w:rPr>
        <w:t xml:space="preserve">» на 1 год» для нужд ООО «Интер РАО – Инжиниринг»</w:t>
      </w:r>
      <w:r>
        <w:rPr>
          <w:bCs/>
          <w:i/>
          <w:u w:val="single"/>
        </w:rPr>
      </w:r>
      <w:r>
        <w:rPr>
          <w:bCs/>
          <w:i/>
          <w:u w:val="single"/>
        </w:rPr>
      </w:r>
    </w:p>
    <w:p>
      <w:pPr>
        <w:jc w:val="center"/>
        <w:tabs>
          <w:tab w:val="left" w:pos="360" w:leader="none"/>
        </w:tabs>
        <w:rPr>
          <w:bCs/>
          <w:i/>
          <w:u w:val="single"/>
        </w:rPr>
      </w:pPr>
      <w:r>
        <w:rPr>
          <w:bCs/>
          <w:i/>
          <w:u w:val="single"/>
        </w:rPr>
      </w:r>
      <w:r>
        <w:rPr>
          <w:bCs/>
          <w:i/>
          <w:u w:val="single"/>
        </w:rPr>
      </w:r>
      <w:r>
        <w:rPr>
          <w:bCs/>
          <w:i/>
          <w:u w:val="single"/>
        </w:rPr>
      </w:r>
    </w:p>
    <w:p>
      <w:pPr>
        <w:contextualSpacing/>
        <w:jc w:val="both"/>
        <w:keepLines/>
        <w:spacing w:after="240" w:line="17" w:lineRule="atLeast"/>
        <w:rPr>
          <w:b/>
          <w:bCs/>
          <w:lang w:eastAsia="en-US"/>
        </w:rPr>
      </w:pPr>
      <w:r>
        <w:rPr>
          <w:b/>
          <w:lang w:eastAsia="en-US"/>
        </w:rPr>
        <w:t xml:space="preserve">1</w:t>
      </w:r>
      <w:r>
        <w:rPr>
          <w:b/>
          <w:lang w:eastAsia="en-US"/>
        </w:rPr>
        <w:t xml:space="preserve">. </w:t>
      </w:r>
      <w:r>
        <w:rPr>
          <w:b/>
          <w:lang w:eastAsia="en-US"/>
        </w:rPr>
        <w:t xml:space="preserve">НАИМЕНОВАНИЕ УСЛУГ (НОМЕНКЛАТУРА) И ПЕРЕЧЕНЬ ОБЪЕКТОВ, НА КОТОРЫХ БУДУТ ОКАЗЫВАТЬСЯ УСЛУГИ.</w:t>
      </w:r>
      <w:r>
        <w:rPr>
          <w:b/>
          <w:bCs/>
          <w:lang w:eastAsia="en-US"/>
        </w:rPr>
      </w:r>
      <w:r>
        <w:rPr>
          <w:b/>
          <w:bCs/>
          <w:lang w:eastAsia="en-US"/>
        </w:rPr>
      </w:r>
    </w:p>
    <w:p>
      <w:pPr>
        <w:contextualSpacing/>
        <w:jc w:val="both"/>
        <w:keepLines/>
        <w:spacing w:after="240" w:line="17" w:lineRule="atLeast"/>
        <w:rPr>
          <w:b w:val="0"/>
          <w:bCs w:val="0"/>
          <w:highlight w:val="none"/>
        </w:rPr>
        <w:suppressLineNumbers w:val="0"/>
      </w:pPr>
      <w:r>
        <w:rPr>
          <w:b/>
          <w:bCs/>
        </w:rPr>
        <w:t xml:space="preserve">1.1.</w:t>
      </w:r>
      <w:r>
        <w:rPr>
          <w:b w:val="0"/>
          <w:bCs w:val="0"/>
        </w:rPr>
        <w:t xml:space="preserve"> Приобретение услуг доступа к справочно-правовой системе «КонсультантПлюс» на 1 год для нужд ОО</w:t>
      </w:r>
      <w:r>
        <w:rPr>
          <w:b w:val="0"/>
          <w:bCs w:val="0"/>
        </w:rPr>
        <w:t xml:space="preserve">О «Интер РАО – Инжиниринг», приложение № 1 к ТЗ.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contextualSpacing/>
        <w:jc w:val="both"/>
        <w:keepLines/>
        <w:spacing w:after="240" w:line="17" w:lineRule="atLeast"/>
        <w:rPr>
          <w:b w:val="0"/>
          <w:bCs w:val="0"/>
          <w:highlight w:val="none"/>
        </w:rPr>
        <w:suppressLineNumbers w:val="0"/>
      </w:pPr>
      <w:r>
        <w:rPr>
          <w:b/>
          <w:bCs/>
          <w:highlight w:val="none"/>
        </w:rPr>
        <w:t xml:space="preserve">1.2. Услуги должны быть оказаны Исполнителем по адресу: </w:t>
      </w:r>
      <w:r>
        <w:rPr>
          <w:b w:val="0"/>
          <w:bCs w:val="0"/>
          <w:highlight w:val="none"/>
        </w:rPr>
        <w:t xml:space="preserve">119435, г. Москва, ул. Большая Пироговская, д. 2, стр. 4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contextualSpacing/>
        <w:jc w:val="both"/>
        <w:keepLines/>
        <w:spacing w:after="240" w:line="17" w:lineRule="atLeast"/>
        <w:rPr>
          <w:b w:val="0"/>
          <w:bCs w:val="0"/>
        </w:rPr>
        <w:suppressLineNumbers w:val="0"/>
      </w:pPr>
      <w:r>
        <w:rPr>
          <w:b w:val="0"/>
          <w:bCs w:val="0"/>
          <w:highlight w:val="none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contextualSpacing/>
        <w:jc w:val="both"/>
        <w:keepLines/>
        <w:spacing w:after="240" w:line="17" w:lineRule="atLeast"/>
        <w:rPr>
          <w:b/>
          <w:bCs/>
        </w:rPr>
        <w:suppressLineNumbers w:val="0"/>
      </w:pPr>
      <w:r>
        <w:rPr>
          <w:b/>
        </w:rPr>
        <w:t xml:space="preserve">2. ОБЩИЕ ТРЕБОВАНИЯ </w:t>
      </w:r>
      <w:r>
        <w:rPr>
          <w:b/>
          <w:bCs/>
        </w:rPr>
      </w:r>
      <w:r>
        <w:rPr>
          <w:b/>
          <w:bCs/>
        </w:rPr>
      </w:r>
    </w:p>
    <w:p>
      <w:pPr>
        <w:contextualSpacing/>
        <w:jc w:val="both"/>
        <w:keepLines/>
        <w:spacing w:after="240" w:line="17" w:lineRule="atLeast"/>
        <w:rPr>
          <w:b w:val="0"/>
          <w:bCs w:val="0"/>
        </w:rPr>
        <w:suppressLineNumbers w:val="0"/>
      </w:pPr>
      <w:r>
        <w:rPr>
          <w:b/>
          <w:bCs/>
        </w:rPr>
        <w:t xml:space="preserve">2.1. Основание для оказания услуг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contextualSpacing/>
        <w:jc w:val="both"/>
        <w:keepLines/>
        <w:spacing w:after="240" w:line="17" w:lineRule="atLeast"/>
        <w:rPr>
          <w:b w:val="0"/>
          <w:bCs w:val="0"/>
        </w:rPr>
        <w:suppressLineNumbers w:val="0"/>
      </w:pPr>
      <w:r>
        <w:rPr>
          <w:b w:val="0"/>
          <w:bCs w:val="0"/>
        </w:rPr>
        <w:t xml:space="preserve">ГКПЗ на 2025 г.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contextualSpacing/>
        <w:jc w:val="both"/>
        <w:keepLines/>
        <w:spacing w:after="240" w:line="17" w:lineRule="atLeast"/>
        <w:rPr>
          <w:b w:val="0"/>
          <w:bCs w:val="0"/>
          <w:highlight w:val="none"/>
        </w:rPr>
        <w:suppressLineNumbers w:val="0"/>
      </w:pPr>
      <w:r>
        <w:rPr>
          <w:b w:val="0"/>
          <w:bCs w:val="0"/>
        </w:rPr>
        <w:t xml:space="preserve">Целью о</w:t>
      </w:r>
      <w:r>
        <w:t xml:space="preserve">казываемых услуг является получение оперативной и актуальной правовой информации </w:t>
      </w:r>
      <w:r>
        <w:rPr>
          <w:bCs/>
          <w:iCs/>
        </w:rPr>
        <w:t xml:space="preserve">по направлениям: законодательство, судебная практика, бухгалтерский учет и кадры, комментарии законодательства.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contextualSpacing/>
        <w:jc w:val="both"/>
        <w:keepLines/>
        <w:spacing w:after="240" w:line="17" w:lineRule="atLeast"/>
        <w:rPr>
          <w:b/>
        </w:rPr>
        <w:suppressLineNumbers w:val="0"/>
      </w:pPr>
      <w:r>
        <w:rPr>
          <w:b/>
        </w:rPr>
        <w:t xml:space="preserve">2.2. </w:t>
      </w:r>
      <w:r>
        <w:rPr>
          <w:b/>
        </w:rPr>
        <w:t xml:space="preserve">Требования к срокам оказания услуг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after="240" w:line="17" w:lineRule="atLeast"/>
        <w:rPr>
          <w:highlight w:val="none"/>
        </w:rPr>
        <w:suppressLineNumbers w:val="0"/>
      </w:pPr>
      <w:r>
        <w:t xml:space="preserve">Срок начала оказания услуг 01.01.2026 г.</w:t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jc w:val="both"/>
        <w:keepLines/>
        <w:spacing w:after="240" w:line="17" w:lineRule="atLeast"/>
        <w:suppressLineNumbers w:val="0"/>
      </w:pPr>
      <w:r>
        <w:rPr>
          <w:highlight w:val="none"/>
        </w:rPr>
        <w:t xml:space="preserve">Срок окончания оказания услуг - 31.12.2026</w:t>
      </w:r>
      <w:r>
        <w:rPr>
          <w:highlight w:val="none"/>
        </w:rPr>
      </w:r>
      <w:r/>
    </w:p>
    <w:p>
      <w:pPr>
        <w:contextualSpacing/>
        <w:jc w:val="both"/>
        <w:keepLines/>
        <w:spacing w:after="240" w:line="17" w:lineRule="atLeast"/>
        <w:suppressLineNumbers w:val="0"/>
      </w:pPr>
      <w:r>
        <w:rPr>
          <w:b/>
          <w:bCs/>
        </w:rPr>
        <w:t xml:space="preserve">2.3. </w:t>
      </w:r>
      <w:r>
        <w:rPr>
          <w:b/>
          <w:bCs/>
        </w:rPr>
        <w:t xml:space="preserve">Нормативные требования к качеству услуг, их результату</w:t>
      </w:r>
      <w:r/>
    </w:p>
    <w:p>
      <w:pPr>
        <w:numPr>
          <w:ilvl w:val="0"/>
          <w:numId w:val="34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Исполнитель обязан обеспечить совместимость (взаимодействие) услуг по адаптации и сопровождению с ранее установленными у Заказчика экземплярами Систем КонсультантП</w:t>
      </w:r>
      <w:r>
        <w:t xml:space="preserve">люс; внутренними информационными ресурсами Заказчика, ранее самостоятельно подготовленными им с использованием технологий Систем КонсультантПлюс, в том числе с составленными Заказчиком внутри программной оболочки Системы КонсультантПлюс подборками документ</w:t>
      </w:r>
      <w:r>
        <w:t xml:space="preserve">ов Заказчика, перечнями документов «на контроле», комментариями и закладками Заказчика в текстах документов Систем КонсультантПлюс; базой данных проектов типовых договоров Заказчика, содержащей договорные формы, создаваемые, открываемые, изменяемые и обнов</w:t>
      </w:r>
      <w:r>
        <w:t xml:space="preserve">ляемые (актуализируемые) Заказчиком с использованием актуализируемого Конструктора договоров КонсультантПлюс; технологическими взаимосвязями отдельных собственных документов Заказчика (в том числе шаблонов/типовых форм/образцов) с актуализируемыми Системам</w:t>
      </w:r>
      <w:r>
        <w:t xml:space="preserve">и КонсультантПлюс, актуализируемым Конструктором договоров КонсультантПлюс.</w:t>
      </w:r>
      <w:r/>
    </w:p>
    <w:p>
      <w:pPr>
        <w:numPr>
          <w:ilvl w:val="0"/>
          <w:numId w:val="34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Исполнитель обязан предоставить Заказчику документы, подтверждающие наличие у Исполнителя необходимых прав на использование технологий и иных результатов интеллектуальной деятельно</w:t>
      </w:r>
      <w:r>
        <w:t xml:space="preserve">сти, и, в частности, копию Лицензионного соглашения, подтверждающего, что специальное сервисное программное обеспечение, используемое Исполнителем для оказания услуг по адаптации и сопровождению, полностью совместимо (взаимодействует) с ранее установленным</w:t>
      </w:r>
      <w:r>
        <w:t xml:space="preserve">и у Заказчика экземплярами Систем КонсультантПлюс и с указанными выше внутренними информационными ресурсами Заказчика. </w:t>
      </w:r>
      <w:r/>
    </w:p>
    <w:p>
      <w:pPr>
        <w:numPr>
          <w:ilvl w:val="0"/>
          <w:numId w:val="34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Исполнитель обязан предоставить достоверн</w:t>
      </w:r>
      <w:r>
        <w:t xml:space="preserve">ые сведения о совместимости (взаимодействии) оказываемых услуг по адаптации и сопровождению с ранее установленными у Заказчика экземплярами Систем КонсультантПлюс на основе специального лицензионного сервисного программного обеспечения, обеспечивающего так</w:t>
      </w:r>
      <w:r>
        <w:t xml:space="preserve">ую совместимость, а также о возможности оказания указанных услуг.</w:t>
      </w:r>
      <w:r/>
    </w:p>
    <w:p>
      <w:pPr>
        <w:contextualSpacing/>
        <w:jc w:val="both"/>
        <w:keepLines/>
        <w:spacing w:after="240" w:line="17" w:lineRule="atLeast"/>
        <w:rPr>
          <w:b/>
          <w:bCs/>
        </w:rPr>
        <w:suppressLineNumbers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contextualSpacing/>
        <w:jc w:val="both"/>
        <w:keepLines/>
        <w:spacing w:after="240" w:line="17" w:lineRule="atLeast"/>
        <w:rPr>
          <w:b/>
        </w:rPr>
        <w:suppressLineNumbers w:val="0"/>
      </w:pPr>
      <w:r>
        <w:rPr>
          <w:b/>
        </w:rPr>
        <w:t xml:space="preserve">3. ТРЕБОВАНИ</w:t>
      </w:r>
      <w:r>
        <w:rPr>
          <w:b/>
        </w:rPr>
        <w:t xml:space="preserve">Я К ОКАЗАНИЮ УСЛУГ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after="240" w:line="17" w:lineRule="atLeast"/>
        <w:rPr>
          <w:b/>
        </w:rPr>
        <w:suppressLineNumbers w:val="0"/>
      </w:pPr>
      <w:r>
        <w:rPr>
          <w:b/>
        </w:rPr>
        <w:t xml:space="preserve">3.1. Объем оказываемых услуг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line="17" w:lineRule="atLeast"/>
        <w:suppressLineNumbers w:val="0"/>
      </w:pPr>
      <w:r/>
      <w:bookmarkStart w:id="2" w:name="_Hlk139965177"/>
      <w:r>
        <w:t xml:space="preserve">Оказание услуг доступа к справочно-правовой системе КонсультантПлюс, определяется </w:t>
      </w:r>
      <w:bookmarkEnd w:id="2"/>
      <w:r>
        <w:t xml:space="preserve">Приложением №1 к настоящему техническому заданию (далее – ТЗ);</w:t>
      </w:r>
      <w:r/>
    </w:p>
    <w:p>
      <w:pPr>
        <w:pStyle w:val="926"/>
        <w:contextualSpacing/>
        <w:ind w:firstLine="0"/>
        <w:jc w:val="both"/>
        <w:keepLines/>
        <w:spacing w:line="17" w:lineRule="atLeast"/>
        <w:rPr>
          <w:rFonts w:ascii="Times New Roman" w:hAnsi="Times New Roman" w:cs="Times New Roman"/>
          <w:b/>
          <w:sz w:val="24"/>
          <w:szCs w:val="24"/>
        </w:rPr>
        <w:suppressLineNumbers w:val="0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3.1.1. Услуги доступа к справочно-правовой системе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КонсультантПлюс предусматривает: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numPr>
          <w:ilvl w:val="0"/>
          <w:numId w:val="28"/>
        </w:numPr>
        <w:contextualSpacing/>
        <w:jc w:val="both"/>
        <w:keepLines/>
        <w:spacing w:line="17" w:lineRule="atLeast"/>
        <w:tabs>
          <w:tab w:val="clear" w:pos="0" w:leader="none"/>
        </w:tabs>
        <w:suppressLineNumbers w:val="0"/>
      </w:pPr>
      <w:r>
        <w:t xml:space="preserve">Адаптацию и сопровождение экземпляров Систем актуальной информацией (актуальными наборами текстовой информации), адаптированной к имеющимся у Заказчика экземплярам Систем, в соответствии с технологией обслуживания Систем, п</w:t>
      </w:r>
      <w:r>
        <w:t xml:space="preserve">утем ее доставки специалистом в офис Заказчика или, по желанию Заказчика, обеспечение получения информации с использованием средств телекоммуникаций;</w:t>
      </w:r>
      <w:r/>
    </w:p>
    <w:p>
      <w:pPr>
        <w:numPr>
          <w:ilvl w:val="0"/>
          <w:numId w:val="28"/>
        </w:numPr>
        <w:contextualSpacing/>
        <w:jc w:val="both"/>
        <w:keepLines/>
        <w:spacing w:line="17" w:lineRule="atLeast"/>
        <w:tabs>
          <w:tab w:val="clear" w:pos="0" w:leader="none"/>
        </w:tabs>
        <w:suppressLineNumbers w:val="0"/>
      </w:pPr>
      <w:r>
        <w:t xml:space="preserve">Получение Заказчиком консультаций по работе с Системами по телефону, по электронной почте, через специальн</w:t>
      </w:r>
      <w:r>
        <w:t xml:space="preserve">ые сервисы и базы данных в офисе Заказчика и/или Исполнителя;</w:t>
      </w:r>
      <w:r/>
    </w:p>
    <w:p>
      <w:pPr>
        <w:numPr>
          <w:ilvl w:val="0"/>
          <w:numId w:val="28"/>
        </w:numPr>
        <w:contextualSpacing/>
        <w:jc w:val="both"/>
        <w:keepLines/>
        <w:spacing w:line="17" w:lineRule="atLeast"/>
        <w:tabs>
          <w:tab w:val="clear" w:pos="0" w:leader="none"/>
        </w:tabs>
        <w:suppressLineNumbers w:val="0"/>
      </w:pPr>
      <w:r>
        <w:t xml:space="preserve">Обучение Заказчика методам работы с Системами с возможностью получения Сертификата квалифицированного пользователя, в том числе специальное обучение с учетом профессиональных интересов специалис</w:t>
      </w:r>
      <w:r>
        <w:t xml:space="preserve">тов Заказчика;</w:t>
      </w:r>
      <w:r/>
    </w:p>
    <w:p>
      <w:pPr>
        <w:numPr>
          <w:ilvl w:val="0"/>
          <w:numId w:val="28"/>
        </w:numPr>
        <w:contextualSpacing/>
        <w:jc w:val="both"/>
        <w:keepLines/>
        <w:spacing w:line="17" w:lineRule="atLeast"/>
        <w:tabs>
          <w:tab w:val="clear" w:pos="0" w:leader="none"/>
        </w:tabs>
        <w:suppressLineNumbers w:val="0"/>
      </w:pPr>
      <w:r>
        <w:t xml:space="preserve">Поиск документов, не вошедших в Системы, ранее установленные у Заказчика и предоставление Заказчику возможности получения текстов необходимых ему документов в случае их наличия; оперативная помощь в получении документов по индивидуальному за</w:t>
      </w:r>
      <w:r>
        <w:t xml:space="preserve">просу;</w:t>
      </w:r>
      <w:r/>
    </w:p>
    <w:p>
      <w:pPr>
        <w:numPr>
          <w:ilvl w:val="0"/>
          <w:numId w:val="28"/>
        </w:numPr>
        <w:contextualSpacing/>
        <w:jc w:val="both"/>
        <w:keepLines/>
        <w:spacing w:line="17" w:lineRule="atLeast"/>
        <w:tabs>
          <w:tab w:val="clear" w:pos="0" w:leader="none"/>
        </w:tabs>
        <w:suppressLineNumbers w:val="0"/>
      </w:pPr>
      <w:r>
        <w:t xml:space="preserve">Осуществление технической профилактики работоспособности экземпляров Системы и восстановление работоспособности экземпляров Системы в случае сбоев компьютерного оборудования после их устранения Заказчиком;</w:t>
      </w:r>
      <w:r/>
    </w:p>
    <w:p>
      <w:pPr>
        <w:numPr>
          <w:ilvl w:val="0"/>
          <w:numId w:val="28"/>
        </w:numPr>
        <w:contextualSpacing/>
        <w:jc w:val="both"/>
        <w:keepLines/>
        <w:spacing w:line="17" w:lineRule="atLeast"/>
        <w:tabs>
          <w:tab w:val="clear" w:pos="0" w:leader="none"/>
        </w:tabs>
        <w:suppressLineNumbers w:val="0"/>
      </w:pPr>
      <w:r>
        <w:t xml:space="preserve">Обеспечение входа в экземпляры Систем - рег</w:t>
      </w:r>
      <w:r>
        <w:t xml:space="preserve">истрация, тестирование, адаптация специальной копии Системы КонсультантПлюс и выполнение других настроек входа (при эксплуатации экземпляров Систем в технологии ОВК-Ф);</w:t>
      </w:r>
      <w:r/>
    </w:p>
    <w:p>
      <w:pPr>
        <w:numPr>
          <w:ilvl w:val="0"/>
          <w:numId w:val="28"/>
        </w:numPr>
        <w:contextualSpacing/>
        <w:jc w:val="both"/>
        <w:keepLines/>
        <w:spacing w:line="17" w:lineRule="atLeast"/>
        <w:tabs>
          <w:tab w:val="clear" w:pos="0" w:leader="none"/>
        </w:tabs>
        <w:suppressLineNumbers w:val="0"/>
      </w:pPr>
      <w:r>
        <w:t xml:space="preserve">Обеспечение входа в экземпляры Систем 24 часа в сутки 7 дней в неделю, за исключением в</w:t>
      </w:r>
      <w:r>
        <w:t xml:space="preserve">ремени перерывов в предоставлении услуг, связанных с заменой оборудования, программного обеспечения и/или проведения других ремонтных или планово-профилактических работ на серверном оборудовании (при эксплуатации экземпляров Систем в технологии ОВК-Ф);</w:t>
      </w:r>
      <w:r/>
    </w:p>
    <w:p>
      <w:pPr>
        <w:numPr>
          <w:ilvl w:val="0"/>
          <w:numId w:val="28"/>
        </w:numPr>
        <w:contextualSpacing/>
        <w:jc w:val="both"/>
        <w:keepLines/>
        <w:spacing w:line="17" w:lineRule="atLeast"/>
        <w:tabs>
          <w:tab w:val="clear" w:pos="0" w:leader="none"/>
        </w:tabs>
        <w:suppressLineNumbers w:val="0"/>
      </w:pPr>
      <w:r>
        <w:t xml:space="preserve">Осу</w:t>
      </w:r>
      <w:r>
        <w:t xml:space="preserve">ществление технической профилактики работоспособности настроек входа в экземпляры Систем и восстановление работоспособности настроек в случае сбоев компьютерного оборудования после их устранения Заказчиком (при эксплуатации экземпляров Систем в технологии </w:t>
      </w:r>
      <w:r>
        <w:t xml:space="preserve">ОВК-Ф);</w:t>
      </w:r>
      <w:r/>
    </w:p>
    <w:p>
      <w:pPr>
        <w:numPr>
          <w:ilvl w:val="0"/>
          <w:numId w:val="28"/>
        </w:numPr>
        <w:contextualSpacing/>
        <w:jc w:val="both"/>
        <w:keepLines/>
        <w:spacing w:line="17" w:lineRule="atLeast"/>
        <w:tabs>
          <w:tab w:val="clear" w:pos="0" w:leader="none"/>
        </w:tabs>
        <w:suppressLineNumbers w:val="0"/>
      </w:pPr>
      <w:r>
        <w:t xml:space="preserve">Обеспечение пользователей USB-носителями для входа в экземпляры Систем (при эксплуатации экземпляров Систем в технологии ОВК-Ф);</w:t>
      </w:r>
      <w:r/>
    </w:p>
    <w:p>
      <w:pPr>
        <w:numPr>
          <w:ilvl w:val="0"/>
          <w:numId w:val="28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</w:tabs>
        <w:suppressLineNumbers w:val="0"/>
      </w:pPr>
      <w:r>
        <w:t xml:space="preserve">Мониторинг данных об использовании Систем с целью предотвращения их противоправного и контрафактного использования, а т</w:t>
      </w:r>
      <w:r>
        <w:t xml:space="preserve">акже замедления работы;</w:t>
      </w:r>
      <w:r/>
    </w:p>
    <w:p>
      <w:pPr>
        <w:numPr>
          <w:ilvl w:val="0"/>
          <w:numId w:val="28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</w:tabs>
        <w:suppressLineNumbers w:val="0"/>
      </w:pPr>
      <w:r>
        <w:t xml:space="preserve">Замена программных версий: установка технологических модулей (новой программной оболочки Системы) при внесении усовершенствования в Систему и изменения условий эксплуатации;</w:t>
      </w:r>
      <w:r/>
    </w:p>
    <w:p>
      <w:pPr>
        <w:numPr>
          <w:ilvl w:val="0"/>
          <w:numId w:val="28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</w:tabs>
        <w:suppressLineNumbers w:val="0"/>
      </w:pPr>
      <w:r>
        <w:t xml:space="preserve">Оперативная переустановка Системы при смене техники у Заказчика;</w:t>
      </w:r>
      <w:r/>
    </w:p>
    <w:p>
      <w:pPr>
        <w:numPr>
          <w:ilvl w:val="0"/>
          <w:numId w:val="28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</w:tabs>
        <w:suppressLineNumbers w:val="0"/>
      </w:pPr>
      <w:r>
        <w:t xml:space="preserve">Информационно-техническая поддержка пользователей («Горячая линия»);</w:t>
      </w:r>
      <w:r/>
    </w:p>
    <w:p>
      <w:pPr>
        <w:numPr>
          <w:ilvl w:val="0"/>
          <w:numId w:val="28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</w:tabs>
        <w:suppressLineNumbers w:val="0"/>
      </w:pPr>
      <w:r>
        <w:t xml:space="preserve">Информирование пользователей о новостях законодательства, новых продуктах и услугах Исполнителя.</w:t>
      </w:r>
      <w:r/>
    </w:p>
    <w:p>
      <w:pPr>
        <w:contextualSpacing/>
        <w:jc w:val="both"/>
        <w:keepLines/>
        <w:spacing w:line="17" w:lineRule="atLeast"/>
        <w:suppressLineNumbers w:val="0"/>
      </w:pPr>
      <w:r>
        <w:t xml:space="preserve">Исполнитель должен обеспечить:</w:t>
      </w:r>
      <w:r/>
    </w:p>
    <w:p>
      <w:pPr>
        <w:pStyle w:val="926"/>
        <w:numPr>
          <w:ilvl w:val="0"/>
          <w:numId w:val="35"/>
        </w:numPr>
        <w:contextualSpacing/>
        <w:ind w:left="0" w:firstLine="0"/>
        <w:jc w:val="both"/>
        <w:keepLines/>
        <w:spacing w:line="17" w:lineRule="atLeast"/>
        <w:tabs>
          <w:tab w:val="clear" w:pos="720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  <w:t xml:space="preserve">Периодическое обновления версии СПС (серверная часть, клиентская часть, версия на USB-носителе (ОВК-</w:t>
      </w:r>
      <w:r>
        <w:rPr>
          <w:rFonts w:ascii="Times New Roman" w:hAnsi="Times New Roman" w:cs="Times New Roman"/>
          <w:sz w:val="24"/>
          <w:szCs w:val="24"/>
        </w:rPr>
        <w:t xml:space="preserve">Ф)) (по мере выхода новых версий);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26"/>
        <w:numPr>
          <w:ilvl w:val="0"/>
          <w:numId w:val="35"/>
        </w:numPr>
        <w:contextualSpacing/>
        <w:ind w:left="0" w:firstLine="0"/>
        <w:jc w:val="both"/>
        <w:keepLines/>
        <w:spacing w:line="17" w:lineRule="atLeast"/>
        <w:tabs>
          <w:tab w:val="clear" w:pos="720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</w:r>
      <w:bookmarkStart w:id="3" w:name="_Hlk139965165"/>
      <w:r>
        <w:rPr>
          <w:rFonts w:ascii="Times New Roman" w:hAnsi="Times New Roman" w:cs="Times New Roman"/>
          <w:sz w:val="24"/>
          <w:szCs w:val="24"/>
        </w:rPr>
        <w:t xml:space="preserve">Периодическое обновления информационных блоков СПС (серверная часть, версия на USB-носителе (ОВК-Ф)) (не реже одного раза в сутки).</w:t>
      </w:r>
      <w:bookmarkEnd w:id="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26"/>
        <w:contextualSpacing/>
        <w:ind w:firstLine="0"/>
        <w:jc w:val="both"/>
        <w:keepLines/>
        <w:spacing w:line="17" w:lineRule="atLeast"/>
        <w:suppressLineNumbers w:val="0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3.1.2.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функ</w:t>
      </w:r>
      <w:r>
        <w:rPr>
          <w:rFonts w:ascii="Times New Roman" w:hAnsi="Times New Roman" w:cs="Times New Roman"/>
          <w:b/>
          <w:sz w:val="24"/>
          <w:szCs w:val="24"/>
        </w:rPr>
        <w:t xml:space="preserve">ционалу Системы КонсультантПлюс: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Возможность получения полной информации о последних поступлениях правовой информации, в том числе с помощью аналитических обзоров;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Возможность поиска, результат которого представлен в виде дерева-списка, в котором отражено </w:t>
      </w:r>
      <w:r>
        <w:t xml:space="preserve">точное количество найденных документов по каждому разделу и информационному банку;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Возможность поиска, результат которого представлен в виде единого списка документов (без разбивки по информационным банкам), в котором представлены нормативные документы, су</w:t>
      </w:r>
      <w:r>
        <w:t xml:space="preserve">дебные решения, комментарии и т.п., наиболее точно отвечающие условиям запроса с указанием фрагмента текста;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tabs>
          <w:tab w:val="clear" w:pos="0" w:leader="none"/>
          <w:tab w:val="num" w:pos="567" w:leader="none"/>
          <w:tab w:val="left" w:pos="709" w:leader="none"/>
        </w:tabs>
        <w:suppressLineNumbers w:val="0"/>
      </w:pPr>
      <w:r>
        <w:t xml:space="preserve">Возможность поставить на контроль как весь документ, регулирующий федеральное законодательство, так и его фрагмент;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Наличие в документах подробных </w:t>
      </w:r>
      <w:r>
        <w:t xml:space="preserve">ссылок на связанные документы в формате гипертекста (к любой структурной единице документа); ссылки из всех документов (включая судебные решения и авторские материалы) на другие документы по умолчанию должны вести в те редакции других документов, которые б</w:t>
      </w:r>
      <w:r>
        <w:t xml:space="preserve">ыли актуальны на момент подготовки или принятия исходного документа (судебного решения, авторского материала);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tabs>
          <w:tab w:val="clear" w:pos="0" w:leader="none"/>
          <w:tab w:val="num" w:pos="567" w:leader="none"/>
          <w:tab w:val="left" w:pos="709" w:leader="none"/>
        </w:tabs>
        <w:suppressLineNumbers w:val="0"/>
      </w:pPr>
      <w:r>
        <w:t xml:space="preserve">Возможность построения списка связанных документов к произвольному, выбранному пользователем фрагменту документа, построенного по принципу обратн</w:t>
      </w:r>
      <w:r>
        <w:t xml:space="preserve">ых (категории: «дан в редакции следующего документа»/ «упоминается в следующем документе») и прямых (категория: «упоминает следующий документ») ссылок;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tabs>
          <w:tab w:val="clear" w:pos="0" w:leader="none"/>
          <w:tab w:val="num" w:pos="567" w:leader="none"/>
          <w:tab w:val="left" w:pos="709" w:leader="none"/>
        </w:tabs>
        <w:suppressLineNumbers w:val="0"/>
      </w:pPr>
      <w:r>
        <w:t xml:space="preserve">Наличие специальных карточек реквизитов, адаптированных для поиска конкретных типов информации (содержание специфических для этого типа информации реквизитов);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Наличие структурированного интерактивного оглавления с возможностью поиска встречающихся слов в </w:t>
      </w:r>
      <w:r>
        <w:t xml:space="preserve">наименованиях структурных частей документа (к документам, имеющим структуру);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tabs>
          <w:tab w:val="clear" w:pos="0" w:leader="none"/>
          <w:tab w:val="num" w:pos="567" w:leader="none"/>
          <w:tab w:val="left" w:pos="709" w:leader="none"/>
        </w:tabs>
        <w:suppressLineNumbers w:val="0"/>
      </w:pPr>
      <w:r>
        <w:t xml:space="preserve"> Возможность поиска по тексту и названию документа с формулированием запроса как на естественном языке, так и с использованием различных логических условий и ограничений (поиск с</w:t>
      </w:r>
      <w:r>
        <w:t xml:space="preserve"> учетом близости слов, поиск с одновременным использованием нескольких логических условий (\И, \ИЛИ, \РЯДОМ (=пробел), \КРОМЕ);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Возможность поиска с помощью самонастраивающихся словарей;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Возможность контекстного поиска по списку найденных документов, в том</w:t>
      </w:r>
      <w:r>
        <w:t xml:space="preserve"> числе с многократным уточнением запроса;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Возможность сохранения результатов работы с помощью истории запросов, папок и закладок пользователя;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Возможность обмена результатами работы («папки», «закладки») между пользователями; 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Возможность сопровождения пол</w:t>
      </w:r>
      <w:r>
        <w:t xml:space="preserve">ьзователями текстов, входящих в Систему, своими комментариями;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Наличие инструментария для сравнения редакций документа, включая недействующие; возможность получения редакции документа на конкретную дату с указанием диапазона действия редакции;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Полноценное </w:t>
      </w:r>
      <w:r>
        <w:t xml:space="preserve">регулярное обновление (пополнение) информационных банков, в том числе с возможностью ежедневного обновления с полной юридической обработкой информации (неполная юридическая обработка допускается только для документов в Архивах Систем КонсультантПлюс, досту</w:t>
      </w:r>
      <w:r>
        <w:t xml:space="preserve">пных за рамками программной оболочки Системы);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Использование для рубрикации федеральных нормативно-правовых актов тематического рубрикатора, основанного на классификаторе правовых актов, одобренного Указом Президента РФ от 15.03.2000г. №511 «О классификато</w:t>
      </w:r>
      <w:r>
        <w:t xml:space="preserve">ре правовых актов»;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Наличие системы помощи в Системе.</w:t>
      </w:r>
      <w:r/>
    </w:p>
    <w:p>
      <w:pPr>
        <w:pStyle w:val="926"/>
        <w:contextualSpacing/>
        <w:ind w:firstLine="0"/>
        <w:jc w:val="both"/>
        <w:keepLines/>
        <w:spacing w:line="17" w:lineRule="atLeast"/>
        <w:rPr>
          <w:b/>
        </w:rPr>
        <w:suppressLineNumbers w:val="0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3.1.3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программным технологиям Системы КонсультантПлюс: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Возможность централизованного пополнения Системы с сохранением личных настроек пользователя;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Система не должна предоставлять пользователям возможность редактирования информационного содержания Системы;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Система не должна предоставлять пользователям возможность изменения системных конфигурационных файлов;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Система должна быть совместима со всеми совр</w:t>
      </w:r>
      <w:r>
        <w:t xml:space="preserve">еменными версиями </w:t>
      </w:r>
      <w:r>
        <w:t xml:space="preserve">Windows</w:t>
      </w:r>
      <w:r>
        <w:t xml:space="preserve"> 7, </w:t>
      </w:r>
      <w:r>
        <w:t xml:space="preserve">Windows</w:t>
      </w:r>
      <w:r>
        <w:t xml:space="preserve"> 8, </w:t>
      </w:r>
      <w:r>
        <w:t xml:space="preserve">Windows</w:t>
      </w:r>
      <w:r>
        <w:t xml:space="preserve"> 10 (и выше), </w:t>
      </w:r>
      <w:r>
        <w:t xml:space="preserve">Windows</w:t>
      </w:r>
      <w:r>
        <w:t xml:space="preserve"> </w:t>
      </w:r>
      <w:r>
        <w:t xml:space="preserve">Server</w:t>
      </w:r>
      <w:r>
        <w:t xml:space="preserve"> 2008 R2, </w:t>
      </w:r>
      <w:r>
        <w:t xml:space="preserve">Windows</w:t>
      </w:r>
      <w:r>
        <w:t xml:space="preserve"> </w:t>
      </w:r>
      <w:r>
        <w:t xml:space="preserve">Server</w:t>
      </w:r>
      <w:r>
        <w:t xml:space="preserve"> 2012 (и выше);</w:t>
      </w:r>
      <w:r/>
    </w:p>
    <w:p>
      <w:pPr>
        <w:numPr>
          <w:ilvl w:val="0"/>
          <w:numId w:val="30"/>
        </w:numPr>
        <w:contextualSpacing/>
        <w:jc w:val="both"/>
        <w:keepLines/>
        <w:spacing w:line="17" w:lineRule="atLeast"/>
        <w:widowControl w:val="off"/>
        <w:tabs>
          <w:tab w:val="clear" w:pos="0" w:leader="none"/>
          <w:tab w:val="num" w:pos="567" w:leader="none"/>
        </w:tabs>
        <w:suppressLineNumbers w:val="0"/>
      </w:pPr>
      <w:r>
        <w:t xml:space="preserve">Система должна работать в браузерах </w:t>
      </w:r>
      <w:r>
        <w:t xml:space="preserve">Microsoft</w:t>
      </w:r>
      <w:r>
        <w:t xml:space="preserve"> </w:t>
      </w:r>
      <w:r>
        <w:t xml:space="preserve">Internet</w:t>
      </w:r>
      <w:r>
        <w:t xml:space="preserve"> </w:t>
      </w:r>
      <w:r>
        <w:t xml:space="preserve">Explorer</w:t>
      </w:r>
      <w:r>
        <w:t xml:space="preserve"> 8/9/10/11, </w:t>
      </w:r>
      <w:r>
        <w:t xml:space="preserve">Microsoft</w:t>
      </w:r>
      <w:r>
        <w:t xml:space="preserve"> </w:t>
      </w:r>
      <w:r>
        <w:t xml:space="preserve">Edge</w:t>
      </w:r>
      <w:r>
        <w:t xml:space="preserve"> (последняя версия), </w:t>
      </w:r>
      <w:r>
        <w:t xml:space="preserve">Mozilla</w:t>
      </w:r>
      <w:r>
        <w:t xml:space="preserve"> </w:t>
      </w:r>
      <w:r>
        <w:t xml:space="preserve">Firefox</w:t>
      </w:r>
      <w:r>
        <w:t xml:space="preserve"> (последняя верс</w:t>
      </w:r>
      <w:r>
        <w:t xml:space="preserve">ия), </w:t>
      </w:r>
      <w:r>
        <w:t xml:space="preserve">Google</w:t>
      </w:r>
      <w:r>
        <w:t xml:space="preserve"> </w:t>
      </w:r>
      <w:r>
        <w:t xml:space="preserve">Chrome</w:t>
      </w:r>
      <w:r>
        <w:t xml:space="preserve"> (последняя версия), </w:t>
      </w:r>
      <w:r>
        <w:t xml:space="preserve">Opera</w:t>
      </w:r>
      <w:r>
        <w:t xml:space="preserve"> (последняя версия), </w:t>
      </w:r>
      <w:r>
        <w:t xml:space="preserve">Safari</w:t>
      </w:r>
      <w:r>
        <w:t xml:space="preserve"> (последняя версия) [в браузере должны быть разрешены: прием файлов </w:t>
      </w:r>
      <w:r>
        <w:t xml:space="preserve">cookie</w:t>
      </w:r>
      <w:r>
        <w:t xml:space="preserve">, поддержка активных сценариев (</w:t>
      </w:r>
      <w:r>
        <w:t xml:space="preserve">JavaScript</w:t>
      </w:r>
      <w:r>
        <w:t xml:space="preserve">)] (при эксплуатации экземпляров Систем в технологии ОВК-Ф).</w:t>
      </w:r>
      <w:r>
        <w:rPr>
          <w:rFonts w:ascii="Verdana" w:hAnsi="Verdana"/>
          <w:b/>
          <w:sz w:val="18"/>
          <w:szCs w:val="18"/>
        </w:rPr>
      </w:r>
      <w:r/>
    </w:p>
    <w:p>
      <w:pPr>
        <w:contextualSpacing/>
        <w:jc w:val="both"/>
        <w:keepLines/>
        <w:spacing w:line="17" w:lineRule="atLeast"/>
        <w:rPr>
          <w:b/>
        </w:rPr>
        <w:suppressLineNumbers w:val="0"/>
      </w:pPr>
      <w:r>
        <w:rPr>
          <w:b/>
        </w:rPr>
        <w:t xml:space="preserve">3.2. Требования к организации обеспечения услуг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line="17" w:lineRule="atLeast"/>
        <w:suppressLineNumbers w:val="0"/>
      </w:pPr>
      <w:r>
        <w:t xml:space="preserve">Исполнитель должен обеспечить техническую</w:t>
      </w:r>
      <w:r>
        <w:t xml:space="preserve"> поддержку пользователей, путем приема заявок от них через электронную почту или по телефону Горячей линии.</w:t>
      </w:r>
      <w:r/>
    </w:p>
    <w:p>
      <w:pPr>
        <w:contextualSpacing/>
        <w:jc w:val="both"/>
        <w:keepLines/>
        <w:spacing w:line="17" w:lineRule="atLeast"/>
        <w:rPr>
          <w:b/>
        </w:rPr>
        <w:suppressLineNumbers w:val="0"/>
      </w:pPr>
      <w:r>
        <w:rPr>
          <w:b/>
        </w:rPr>
        <w:t xml:space="preserve">3.3. Требования к применяемым материалам и оборудованию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after="240" w:line="17" w:lineRule="atLeast"/>
        <w:suppressLineNumbers w:val="0"/>
      </w:pPr>
      <w:r>
        <w:t xml:space="preserve">Не требуется.</w:t>
      </w:r>
      <w:r/>
    </w:p>
    <w:p>
      <w:pPr>
        <w:contextualSpacing/>
        <w:jc w:val="both"/>
        <w:keepLines/>
        <w:spacing w:after="240" w:line="17" w:lineRule="atLeast"/>
        <w:rPr>
          <w:b/>
        </w:rPr>
        <w:suppressLineNumbers w:val="0"/>
      </w:pPr>
      <w:r>
        <w:rPr>
          <w:b/>
        </w:rPr>
        <w:t xml:space="preserve">3.4. Требования безопасности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after="240" w:line="17" w:lineRule="atLeast"/>
        <w:suppressLineNumbers w:val="0"/>
      </w:pPr>
      <w:r>
        <w:t xml:space="preserve">Не требуется.</w:t>
      </w:r>
      <w:r/>
    </w:p>
    <w:p>
      <w:pPr>
        <w:contextualSpacing/>
        <w:jc w:val="both"/>
        <w:keepLines/>
        <w:spacing w:after="240" w:line="17" w:lineRule="atLeast"/>
        <w:rPr>
          <w:b/>
        </w:rPr>
        <w:suppressLineNumbers w:val="0"/>
      </w:pPr>
      <w:r>
        <w:rPr>
          <w:b/>
        </w:rPr>
        <w:t xml:space="preserve">3.5. Требования к порядку подготовки и передачи заказчику документов при выполнении работ и их завершении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after="240" w:line="17" w:lineRule="atLeast"/>
        <w:suppressLineNumbers w:val="0"/>
      </w:pPr>
      <w:r>
        <w:t xml:space="preserve">3.5.1 Исполнитель обязан передать Заказчику документы, подтверждающие факт оказания Услуг в отчетном периоде (Акт сдачи-приемки оказанных услуг/УПД, счет-фактуру, счет).</w:t>
      </w:r>
      <w:r/>
    </w:p>
    <w:p>
      <w:pPr>
        <w:contextualSpacing/>
        <w:jc w:val="both"/>
        <w:keepLines/>
        <w:spacing w:after="240" w:line="17" w:lineRule="atLeast"/>
        <w:suppressLineNumbers w:val="0"/>
      </w:pPr>
      <w:r>
        <w:t xml:space="preserve">3.5.2 Перечисленные в пункте 3.5.1 документы, подтверждающие факт оказания Услуг, сост</w:t>
      </w:r>
      <w:r>
        <w:t xml:space="preserve">авляются в электронной форме, подписываются усиленной квалифицированной электронной подписью и направляются другой Стороне посредством программы для ЭВМ, предназначенной для обмена электронными документами не позднее следующего рабочего дня, считая со дня </w:t>
      </w:r>
      <w:r>
        <w:t xml:space="preserve">окончания оказания Услуги, в любом случае до 7-го числа месяца, следующего за днем окончания оказания Услуги в отчетном периоде, но не ранее подписания Договора.</w:t>
      </w:r>
      <w:r/>
    </w:p>
    <w:p>
      <w:pPr>
        <w:contextualSpacing/>
        <w:jc w:val="both"/>
        <w:keepLines/>
        <w:spacing w:after="240" w:line="17" w:lineRule="atLeast"/>
        <w:suppressLineNumbers w:val="0"/>
      </w:pPr>
      <w:r>
        <w:rPr>
          <w:b/>
        </w:rPr>
        <w:t xml:space="preserve">3.6. Требования к гарантийным обязательствам</w:t>
      </w:r>
      <w:r/>
    </w:p>
    <w:p>
      <w:pPr>
        <w:contextualSpacing/>
        <w:jc w:val="both"/>
        <w:spacing w:after="240" w:line="17" w:lineRule="atLeast"/>
        <w:suppressLineNumbers w:val="0"/>
      </w:pPr>
      <w:r>
        <w:t xml:space="preserve">Не требуется.</w:t>
      </w:r>
      <w:r/>
    </w:p>
    <w:p>
      <w:pPr>
        <w:contextualSpacing/>
        <w:jc w:val="both"/>
        <w:keepLines/>
        <w:spacing w:after="240" w:line="17" w:lineRule="atLeast"/>
        <w:rPr>
          <w:b/>
        </w:rPr>
        <w:suppressLineNumbers w:val="0"/>
      </w:pPr>
      <w:r>
        <w:rPr>
          <w:b/>
        </w:rPr>
        <w:t xml:space="preserve">3.7. Ответственность исполнителя. </w:t>
      </w:r>
      <w:r>
        <w:tab/>
      </w:r>
      <w:r>
        <w:t xml:space="preserve">Если у Заказчика возникнут обоснованные претензии к Системе в частях качества включенной в нее информации и/или некорректной работы программных средств и/или иной предоставленной информации и материалов, подготовленных Исполнителем с использованием экземпл</w:t>
      </w:r>
      <w:r>
        <w:t xml:space="preserve">яра Системы, Исполнитель обязуется рассмотреть Претензию Заказчика в течение 15 (пятнадцати) календарных дней с момента ее получения. Претензии принимаются Исполнителем только в оплаченном периоде пополнения экземпляров Системы. В случае признания Претензии, обоснован</w:t>
      </w:r>
      <w:r>
        <w:t xml:space="preserve">ной Исполнитель обязан устранить недостатки в разумный срок. В случае </w:t>
      </w:r>
      <w:r>
        <w:t xml:space="preserve">неустранения</w:t>
      </w:r>
      <w:r>
        <w:t xml:space="preserve"> недостатков в указанный срок Заказчик будет вправе потребовать выплаты исключительной неустойки (штрафа) в размере, не превышающем стоимости одного месяца услуг по сопровожд</w:t>
      </w:r>
      <w:r>
        <w:t xml:space="preserve">ению соответствующего экземпляра Системы, в котором не устранены недостатки и/или досрочного расторжения настоящего Договора путем составления дополнительной Претензии. Исполнитель обязуется в пятнадцатидневный срок со дня получения дополнительной Претензи</w:t>
      </w:r>
      <w:r>
        <w:t xml:space="preserve">и письменно ответить на нее. В случае признания дополнительной Претензии Заказчика, обоснованной Исполнитель обязан в зависимости от требований Заказчика перечислить Заказчику исключительную неустойку (штраф) и/или расторгнуть Договор.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after="240" w:line="17" w:lineRule="atLeast"/>
        <w:rPr>
          <w:b/>
        </w:rPr>
        <w:suppressLineNumbers w:val="0"/>
      </w:pPr>
      <w:r>
        <w:rPr>
          <w:b/>
        </w:rPr>
        <w:t xml:space="preserve">3.8. Требо</w:t>
      </w:r>
      <w:r>
        <w:rPr>
          <w:b/>
        </w:rPr>
        <w:t xml:space="preserve">вания к порядку привлечению субподрядчиков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after="240" w:line="17" w:lineRule="atLeast"/>
        <w:rPr>
          <w:highlight w:val="none"/>
        </w:rPr>
        <w:suppressLineNumbers w:val="0"/>
      </w:pPr>
      <w:r>
        <w:t xml:space="preserve">Не требуется.</w:t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jc w:val="both"/>
        <w:keepLines/>
        <w:spacing w:after="240" w:line="17" w:lineRule="atLeast"/>
        <w:suppressLineNumbers w:val="0"/>
      </w:pPr>
      <w:r>
        <w:rPr>
          <w:highlight w:val="none"/>
        </w:rPr>
      </w:r>
      <w:r>
        <w:rPr>
          <w:highlight w:val="none"/>
        </w:rPr>
      </w:r>
      <w:r/>
    </w:p>
    <w:p>
      <w:pPr>
        <w:contextualSpacing/>
        <w:jc w:val="both"/>
        <w:keepLines/>
        <w:spacing w:line="17" w:lineRule="atLeast"/>
        <w:rPr>
          <w:b/>
        </w:rPr>
        <w:suppressLineNumbers w:val="0"/>
      </w:pPr>
      <w:r>
        <w:rPr>
          <w:b/>
        </w:rPr>
        <w:t xml:space="preserve">4. ПОРЯДОК ФОРМИРОВАНИЯ КОММЕРЧЕСКОГО ПРЕДЛОЖЕНИЯ УЧАСТНИКА, ОБОСНОВАНИЯ ЦЕНЫ, РАСЧЕТОВ, ПРЕДОСТАВЛЕНИЯ БАНКОВСКИХ ГАРАНТИЙ</w:t>
      </w:r>
      <w:r>
        <w:rPr>
          <w:b/>
        </w:rPr>
      </w:r>
      <w:r>
        <w:rPr>
          <w:b/>
        </w:rPr>
      </w:r>
    </w:p>
    <w:p>
      <w:pPr>
        <w:pStyle w:val="932"/>
        <w:contextualSpacing/>
        <w:ind w:left="0"/>
        <w:jc w:val="both"/>
        <w:keepLines/>
        <w:spacing w:line="17" w:lineRule="atLeast"/>
        <w:suppressLineNumbers w:val="0"/>
      </w:pPr>
      <w:r>
        <w:t xml:space="preserve">4.1. Участник должен предоставить в составе своего предложения сводную таблицу стоимости по форме и в соответствии с приложением № 1 к ТЗ</w:t>
      </w:r>
      <w:r>
        <w:t xml:space="preserve">.</w:t>
      </w:r>
      <w:r/>
    </w:p>
    <w:p>
      <w:pPr>
        <w:pStyle w:val="932"/>
        <w:contextualSpacing/>
        <w:ind w:left="0"/>
        <w:jc w:val="both"/>
        <w:keepLines/>
        <w:spacing w:after="240" w:line="17" w:lineRule="atLeast"/>
        <w:suppressLineNumbers w:val="0"/>
      </w:pPr>
      <w:r>
        <w:t xml:space="preserve">4.2. Стоимость предложения должна включать в себя все затраты Участника, уплату всех налогов, пошлин и сборов,</w:t>
      </w:r>
      <w:r>
        <w:t xml:space="preserve"> предусмотренных законодательством Российской Федерации.</w:t>
      </w:r>
      <w:r/>
    </w:p>
    <w:p>
      <w:pPr>
        <w:pStyle w:val="932"/>
        <w:contextualSpacing/>
        <w:ind w:left="0"/>
        <w:jc w:val="both"/>
        <w:keepLines/>
        <w:spacing w:line="17" w:lineRule="atLeast"/>
        <w:rPr>
          <w:highlight w:val="none"/>
          <w:lang w:eastAsia="en-US"/>
        </w:rPr>
        <w:suppressLineNumbers w:val="0"/>
      </w:pPr>
      <w:r>
        <w:t xml:space="preserve">4.3. </w:t>
      </w:r>
      <w:r>
        <w:rPr>
          <w:lang w:eastAsia="en-US"/>
        </w:rPr>
        <w:t xml:space="preserve">Оплата производится в форме безналичного расчета путем перечисления денежных средств на расчетный счет Исполнителя, в течение 30 (Тридцати) календарных дней с </w:t>
      </w:r>
      <w:r>
        <w:rPr>
          <w:lang w:eastAsia="en-US"/>
        </w:rPr>
        <w:t xml:space="preserve">даты подписания Заказчиком Акта оказанных услуг (или УПД) на основании выставленных оригиналов счета-фактуры, документов, подтверждающих факт оказания услуг.</w:t>
      </w:r>
      <w:r>
        <w:rPr>
          <w:highlight w:val="none"/>
          <w:lang w:eastAsia="en-US"/>
        </w:rPr>
      </w:r>
      <w:r>
        <w:rPr>
          <w:highlight w:val="none"/>
          <w:lang w:eastAsia="en-US"/>
        </w:rPr>
      </w:r>
    </w:p>
    <w:p>
      <w:pPr>
        <w:pStyle w:val="932"/>
        <w:contextualSpacing/>
        <w:ind w:left="0"/>
        <w:jc w:val="both"/>
        <w:keepLines/>
        <w:spacing w:line="17" w:lineRule="atLeast"/>
        <w:suppressLineNumbers w:val="0"/>
      </w:pPr>
      <w:r>
        <w:rPr>
          <w:highlight w:val="none"/>
          <w:lang w:eastAsia="en-US"/>
        </w:rPr>
      </w:r>
      <w:r>
        <w:rPr>
          <w:highlight w:val="none"/>
          <w:lang w:eastAsia="en-US"/>
        </w:rPr>
      </w:r>
      <w:r/>
    </w:p>
    <w:p>
      <w:pPr>
        <w:contextualSpacing/>
        <w:jc w:val="both"/>
        <w:keepLines/>
        <w:spacing w:after="240" w:line="17" w:lineRule="atLeast"/>
        <w:rPr>
          <w:b/>
        </w:rPr>
        <w:suppressLineNumbers w:val="0"/>
      </w:pPr>
      <w:r>
        <w:rPr>
          <w:b/>
        </w:rPr>
        <w:t xml:space="preserve">5. ТРЕБОВАНИЯ К УЧАСТНИКАМ ЗАКУПКИ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line="17" w:lineRule="atLeast"/>
        <w:rPr>
          <w:b/>
        </w:rPr>
        <w:suppressLineNumbers w:val="0"/>
      </w:pPr>
      <w:r>
        <w:rPr>
          <w:b/>
          <w:lang w:eastAsia="en-US"/>
        </w:rPr>
        <w:t xml:space="preserve">5.1. Требования о наличии кадровых ресурсов и их квалификации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after="240" w:line="17" w:lineRule="atLeast"/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Участник закупки должен предоставить в составе своего предложения справку о кадровых ресурсах по форме, указанной в закупочной документации, подтверждающую наличие персонала необходимого для оказания услуг, являющихся предметом закупки, не менее чем: </w:t>
      </w:r>
      <w:r>
        <w:rPr>
          <w14:ligatures w14:val="none"/>
        </w:rPr>
      </w:r>
    </w:p>
    <w:p>
      <w:pPr>
        <w:contextualSpacing/>
        <w:jc w:val="both"/>
        <w:keepLines/>
        <w:spacing w:after="240" w:line="17" w:lineRule="atLeast"/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- не менее 3-х сертифицированных специалистов (подтвердить предоставлением копии сертификата КонсультантПлюс «Профессионал»).</w:t>
      </w:r>
      <w:r>
        <w:rPr>
          <w14:ligatures w14:val="none"/>
        </w:rPr>
      </w:r>
      <w:r>
        <w:rPr>
          <w14:ligatures w14:val="none"/>
        </w:rPr>
      </w:r>
    </w:p>
    <w:p>
      <w:pPr>
        <w:contextualSpacing/>
        <w:jc w:val="both"/>
        <w:keepLines/>
        <w:spacing w:after="240" w:line="17" w:lineRule="atLeast"/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lang w:eastAsia="en-US"/>
        </w:rPr>
        <w:t xml:space="preserve">5.2. Требования о наличии материально-технических ресурсов </w:t>
      </w:r>
      <w:r>
        <w:rPr>
          <w14:ligatures w14:val="none"/>
        </w:rPr>
      </w:r>
      <w:r>
        <w:rPr>
          <w14:ligatures w14:val="none"/>
        </w:rPr>
      </w:r>
    </w:p>
    <w:p>
      <w:pPr>
        <w:contextualSpacing/>
        <w:jc w:val="both"/>
        <w:keepLines/>
        <w:spacing w:after="240" w:line="17" w:lineRule="atLeast"/>
        <w:suppressLineNumbers w:val="0"/>
      </w:pPr>
      <w:r>
        <w:t xml:space="preserve">Не требуется.</w:t>
      </w:r>
      <w:r/>
    </w:p>
    <w:p>
      <w:pPr>
        <w:contextualSpacing/>
        <w:jc w:val="both"/>
        <w:keepLines/>
        <w:spacing w:after="240" w:line="17" w:lineRule="atLeast"/>
        <w:rPr>
          <w:b/>
        </w:rPr>
        <w:suppressLineNumbers w:val="0"/>
      </w:pPr>
      <w:r>
        <w:rPr>
          <w:b/>
          <w:lang w:eastAsia="en-US"/>
        </w:rPr>
        <w:t xml:space="preserve">5.3. Требования к измерительным приборам и инструментам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after="240" w:line="17" w:lineRule="atLeast"/>
        <w:suppressLineNumbers w:val="0"/>
      </w:pPr>
      <w:r>
        <w:rPr>
          <w:lang w:eastAsia="en-US"/>
        </w:rPr>
        <w:t xml:space="preserve">Не требуется.</w:t>
      </w:r>
      <w:r/>
    </w:p>
    <w:p>
      <w:pPr>
        <w:contextualSpacing/>
        <w:jc w:val="both"/>
        <w:keepLines/>
        <w:spacing w:after="240" w:line="17" w:lineRule="atLeast"/>
        <w:rPr>
          <w:bCs/>
        </w:rPr>
        <w:suppressLineNumbers w:val="0"/>
      </w:pPr>
      <w:r>
        <w:rPr>
          <w:b/>
          <w:lang w:eastAsia="en-US"/>
        </w:rPr>
        <w:t xml:space="preserve">5.4. </w:t>
      </w:r>
      <w:r>
        <w:rPr>
          <w:b/>
        </w:rPr>
        <w:t xml:space="preserve">Требования о наличии действующих разрешений аттестаций, лицензий</w:t>
      </w:r>
      <w:r>
        <w:rPr>
          <w:bCs/>
        </w:rPr>
      </w:r>
      <w:r>
        <w:rPr>
          <w:bCs/>
        </w:rPr>
      </w:r>
    </w:p>
    <w:p>
      <w:pPr>
        <w:contextualSpacing/>
        <w:jc w:val="both"/>
        <w:keepLines/>
        <w:spacing w:after="240" w:line="17" w:lineRule="atLeast"/>
        <w:suppressLineNumbers w:val="0"/>
      </w:pPr>
      <w:r>
        <w:t xml:space="preserve">Участник должен предоставить подтверждение необходимы</w:t>
      </w:r>
      <w:r>
        <w:t xml:space="preserve">х прав на использование технологий и иных результатов интеллектуальной деятельности программных продуктов семейства КонсультантПлюс (копию лицензионного соглашения с производителем/разработчиком, или копию Сертификата Регионального информационного центра).</w:t>
      </w:r>
      <w:r/>
    </w:p>
    <w:p>
      <w:pPr>
        <w:contextualSpacing/>
        <w:jc w:val="both"/>
        <w:keepLines/>
        <w:spacing w:after="240" w:line="17" w:lineRule="atLeast"/>
        <w:rPr>
          <w:b/>
        </w:rPr>
        <w:suppressLineNumbers w:val="0"/>
      </w:pPr>
      <w:r>
        <w:rPr>
          <w:b/>
          <w:lang w:eastAsia="en-US"/>
        </w:rPr>
        <w:t xml:space="preserve">5</w:t>
      </w:r>
      <w:r>
        <w:rPr>
          <w:b/>
          <w:lang w:eastAsia="en-US"/>
        </w:rPr>
        <w:t xml:space="preserve">.5. Требования о наличии сертифицирован</w:t>
      </w:r>
      <w:r>
        <w:rPr>
          <w:b/>
          <w:lang w:eastAsia="en-US"/>
        </w:rPr>
        <w:t xml:space="preserve">ных систем менеджмента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after="240" w:line="17" w:lineRule="atLeast"/>
        <w:suppressLineNumbers w:val="0"/>
      </w:pPr>
      <w:r>
        <w:rPr>
          <w:lang w:eastAsia="en-US"/>
        </w:rPr>
        <w:t xml:space="preserve">Не требуется.</w:t>
      </w:r>
      <w:r/>
    </w:p>
    <w:p>
      <w:pPr>
        <w:contextualSpacing/>
        <w:jc w:val="both"/>
        <w:keepLines/>
        <w:spacing w:after="240" w:line="17" w:lineRule="atLeast"/>
        <w:rPr>
          <w:b/>
        </w:rPr>
        <w:suppressLineNumbers w:val="0"/>
      </w:pPr>
      <w:r>
        <w:rPr>
          <w:b/>
        </w:rPr>
        <w:t xml:space="preserve">5.6. Требования о наличии аккредитации в Группе «Интер РАО»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after="240" w:line="17" w:lineRule="atLeast"/>
        <w:suppressLineNumbers w:val="0"/>
      </w:pPr>
      <w:r>
        <w:t xml:space="preserve">Не требуется</w:t>
      </w:r>
      <w:r>
        <w:t xml:space="preserve">.</w:t>
      </w:r>
      <w:r/>
    </w:p>
    <w:p>
      <w:pPr>
        <w:contextualSpacing/>
        <w:jc w:val="both"/>
        <w:keepLines/>
        <w:spacing w:after="240" w:line="17" w:lineRule="atLeast"/>
        <w:rPr>
          <w:b/>
        </w:rPr>
        <w:suppressLineNumbers w:val="0"/>
      </w:pPr>
      <w:r>
        <w:rPr>
          <w:b/>
          <w:lang w:eastAsia="en-US"/>
        </w:rPr>
        <w:t xml:space="preserve">5.7. Требования к опыту оказания аналогичных услуг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after="240" w:line="17" w:lineRule="atLeast"/>
        <w:rPr>
          <w14:ligatures w14:val="none"/>
        </w:rPr>
        <w:suppressLineNumbers w:val="0"/>
      </w:pPr>
      <w:r>
        <w:t xml:space="preserve">Участник закупки должен пр</w:t>
      </w:r>
      <w:r>
        <w:t xml:space="preserve">едоставить в составе своего предложения справку о перечне и объемах выполненных аналогичных договоров по форме, указанной в закупочной документации, подтверждающую наличие у него опыта по сопровождению/ технической поддержки, или оказания услуг по адаптаци</w:t>
      </w:r>
      <w:r>
        <w:t xml:space="preserve">и </w:t>
      </w:r>
      <w:r>
        <w:t xml:space="preserve">или сопровождению экземпляров систем Консультант Плюс в количестве не менее 2 исполненных договоров за последние 2 года, предшествующих дате подачи заявки на участие в данной закупке</w:t>
      </w:r>
      <w:r>
        <w:t xml:space="preserve">.</w:t>
      </w:r>
      <w:r>
        <w:rPr>
          <w14:ligatures w14:val="none"/>
        </w:rPr>
      </w:r>
      <w:r>
        <w:rPr>
          <w14:ligatures w14:val="none"/>
        </w:rPr>
      </w:r>
    </w:p>
    <w:p>
      <w:pPr>
        <w:contextualSpacing/>
        <w:jc w:val="both"/>
        <w:keepLines/>
        <w:spacing w:after="240" w:line="17" w:lineRule="atLeast"/>
        <w:rPr>
          <w:b/>
        </w:rPr>
        <w:suppressLineNumbers w:val="0"/>
      </w:pPr>
      <w:r>
        <w:rPr>
          <w:b/>
        </w:rPr>
        <w:t xml:space="preserve">5.8. Требо</w:t>
      </w:r>
      <w:r>
        <w:rPr>
          <w:b/>
        </w:rPr>
        <w:t xml:space="preserve">вания к субподрядным организациям 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after="240" w:line="17" w:lineRule="atLeast"/>
        <w:rPr>
          <w:highlight w:val="none"/>
        </w:rPr>
        <w:suppressLineNumbers w:val="0"/>
      </w:pPr>
      <w:r>
        <w:rPr>
          <w:lang w:eastAsia="en-US"/>
        </w:rPr>
        <w:t xml:space="preserve">Не требуется.</w:t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jc w:val="both"/>
        <w:keepLines/>
        <w:spacing w:after="240" w:line="17" w:lineRule="atLeast"/>
        <w:suppressLineNumbers w:val="0"/>
      </w:pPr>
      <w:r>
        <w:rPr>
          <w:highlight w:val="none"/>
          <w:lang w:eastAsia="en-US"/>
        </w:rPr>
      </w:r>
      <w:r>
        <w:rPr>
          <w:highlight w:val="none"/>
          <w:lang w:eastAsia="en-US"/>
        </w:rPr>
      </w:r>
      <w:r/>
    </w:p>
    <w:p>
      <w:pPr>
        <w:contextualSpacing/>
        <w:jc w:val="both"/>
        <w:keepLines/>
        <w:spacing w:after="240" w:line="17" w:lineRule="atLeast"/>
        <w:rPr>
          <w:b/>
        </w:rPr>
        <w:suppressLineNumbers w:val="0"/>
      </w:pPr>
      <w:r>
        <w:rPr>
          <w:b/>
        </w:rPr>
        <w:t xml:space="preserve">6. ПРИЛОЖЕНИЯ</w:t>
      </w:r>
      <w:r>
        <w:rPr>
          <w:b/>
        </w:rPr>
      </w:r>
      <w:r>
        <w:rPr>
          <w:b/>
        </w:rPr>
      </w:r>
    </w:p>
    <w:p>
      <w:pPr>
        <w:contextualSpacing/>
        <w:jc w:val="both"/>
        <w:keepLines/>
        <w:spacing w:after="240" w:line="17" w:lineRule="atLeast"/>
        <w:suppressLineNumbers w:val="0"/>
      </w:pPr>
      <w:r>
        <w:t xml:space="preserve">Приложение №1 - Список информационно-правовых блоков экземпляров Систем КонсультантПлюс.</w:t>
      </w:r>
      <w:r/>
    </w:p>
    <w:p>
      <w:pPr>
        <w:spacing w:after="200" w:line="276" w:lineRule="auto"/>
      </w:pPr>
      <w:r/>
      <w:r/>
    </w:p>
    <w:p>
      <w:pPr>
        <w:ind w:firstLine="540"/>
        <w:jc w:val="both"/>
      </w:pPr>
      <w:r/>
      <w:r/>
    </w:p>
    <w:p>
      <w:pPr>
        <w:rPr>
          <w:b/>
        </w:rPr>
      </w:pPr>
      <w:r>
        <w:rPr>
          <w:b/>
        </w:rPr>
        <w:t xml:space="preserve">Ответственный исполнитель:</w:t>
      </w:r>
      <w:r>
        <w:rPr>
          <w:b/>
        </w:rPr>
      </w:r>
      <w:r>
        <w:rPr>
          <w:b/>
        </w:rPr>
      </w:r>
    </w:p>
    <w:tbl>
      <w:tblPr>
        <w:tblStyle w:val="776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889"/>
        <w:gridCol w:w="6250"/>
      </w:tblGrid>
      <w:tr>
        <w:tblPrEx/>
        <w:trPr/>
        <w:tc>
          <w:tcPr>
            <w:tcW w:w="3936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  <w:p>
            <w:r>
              <w:t xml:space="preserve">Инженер</w:t>
            </w:r>
            <w:r/>
          </w:p>
          <w:p>
            <w:r>
              <w:t xml:space="preserve">Управления информационных </w:t>
            </w:r>
            <w:r>
              <w:t xml:space="preserve">технологийи</w:t>
            </w:r>
            <w:r>
              <w:t xml:space="preserve"> циф</w:t>
            </w:r>
            <w:r>
              <w:t xml:space="preserve">ровизации</w:t>
            </w:r>
            <w:r/>
          </w:p>
        </w:tc>
        <w:tc>
          <w:tcPr>
            <w:tcW w:w="6378" w:type="dxa"/>
            <w:vAlign w:val="center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</w:tbl>
    <w:p>
      <w:pPr>
        <w:spacing w:after="200" w:line="276" w:lineRule="auto"/>
      </w:pPr>
      <w:r>
        <w:br w:type="page" w:clear="all"/>
      </w:r>
      <w:r/>
    </w:p>
    <w:p>
      <w:pPr>
        <w:pStyle w:val="932"/>
        <w:ind w:left="360"/>
        <w:jc w:val="right"/>
        <w:spacing w:after="240"/>
      </w:pPr>
      <w:r>
        <w:t xml:space="preserve">Приложение №1</w:t>
      </w:r>
      <w:r/>
    </w:p>
    <w:p>
      <w:pPr>
        <w:pStyle w:val="932"/>
        <w:ind w:left="360"/>
        <w:jc w:val="right"/>
        <w:spacing w:after="240"/>
      </w:pPr>
      <w:r>
        <w:t xml:space="preserve">к Техническому заданию</w:t>
      </w:r>
      <w:r/>
    </w:p>
    <w:p>
      <w:pPr>
        <w:pStyle w:val="932"/>
        <w:ind w:left="360"/>
        <w:jc w:val="right"/>
        <w:spacing w:after="240"/>
        <w:rPr>
          <w:b w:val="0"/>
          <w:bCs w:val="0"/>
        </w:rPr>
      </w:pPr>
      <w:r>
        <w:rPr>
          <w:bCs/>
          <w:u w:val="single"/>
        </w:rPr>
      </w:r>
      <w:r>
        <w:rPr>
          <w:b w:val="0"/>
          <w:bCs w:val="0"/>
        </w:rPr>
        <w:t xml:space="preserve">Приобретение услуг доступа к </w:t>
      </w:r>
      <w:r>
        <w:rPr>
          <w:b w:val="0"/>
          <w:bCs w:val="0"/>
        </w:rPr>
        <w:t xml:space="preserve">справочно-правовой системе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32"/>
        <w:ind w:left="360"/>
        <w:jc w:val="right"/>
        <w:spacing w:after="240"/>
        <w:rPr>
          <w:b w:val="0"/>
          <w:bCs w:val="0"/>
        </w:rPr>
      </w:pPr>
      <w:r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«КонсультантПлюс»</w:t>
      </w:r>
      <w:r>
        <w:rPr>
          <w:b w:val="0"/>
          <w:bCs w:val="0"/>
        </w:rPr>
        <w:t xml:space="preserve"> на 1 год </w:t>
      </w:r>
      <w:r>
        <w:rPr>
          <w:b w:val="0"/>
          <w:bCs w:val="0"/>
        </w:rPr>
        <w:t xml:space="preserve">для нужд 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32"/>
        <w:ind w:left="360"/>
        <w:jc w:val="right"/>
        <w:spacing w:after="240"/>
        <w:rPr>
          <w:b w:val="0"/>
          <w:bCs w:val="0"/>
        </w:rPr>
      </w:pPr>
      <w:r>
        <w:rPr>
          <w:b w:val="0"/>
          <w:bCs w:val="0"/>
        </w:rPr>
        <w:t xml:space="preserve">ОО</w:t>
      </w:r>
      <w:r>
        <w:rPr>
          <w:b w:val="0"/>
          <w:bCs w:val="0"/>
        </w:rPr>
        <w:t xml:space="preserve">О «Интер РАО</w:t>
      </w:r>
      <w:r>
        <w:rPr>
          <w:b w:val="0"/>
          <w:bCs w:val="0"/>
        </w:rPr>
        <w:t xml:space="preserve"> – Инжиниринг»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right="-285"/>
        <w:jc w:val="center"/>
        <w:rPr>
          <w:b/>
          <w:bCs/>
          <w:i/>
          <w:sz w:val="22"/>
          <w:szCs w:val="22"/>
        </w:rPr>
      </w:pPr>
      <w:r>
        <w:rPr>
          <w:b/>
          <w:i/>
          <w:sz w:val="22"/>
          <w:szCs w:val="22"/>
        </w:rPr>
      </w:r>
      <w:r>
        <w:rPr>
          <w:b/>
          <w:bCs/>
          <w:i/>
          <w:sz w:val="22"/>
          <w:szCs w:val="22"/>
        </w:rPr>
      </w:r>
      <w:r>
        <w:rPr>
          <w:b/>
          <w:bCs/>
          <w:i/>
          <w:sz w:val="22"/>
          <w:szCs w:val="22"/>
        </w:rPr>
      </w:r>
    </w:p>
    <w:p>
      <w:pPr>
        <w:ind w:right="-285"/>
        <w:jc w:val="center"/>
        <w:rPr>
          <w:b/>
          <w:bCs/>
          <w:i/>
          <w:sz w:val="22"/>
          <w:szCs w:val="22"/>
        </w:rPr>
      </w:pPr>
      <w:r>
        <w:rPr>
          <w:b/>
          <w:i/>
          <w:sz w:val="22"/>
          <w:szCs w:val="22"/>
        </w:rPr>
      </w:r>
      <w:r>
        <w:rPr>
          <w:b/>
          <w:bCs/>
          <w:i/>
          <w:sz w:val="22"/>
          <w:szCs w:val="22"/>
        </w:rPr>
      </w:r>
      <w:r>
        <w:rPr>
          <w:b/>
          <w:bCs/>
          <w:i/>
          <w:sz w:val="22"/>
          <w:szCs w:val="22"/>
        </w:rPr>
      </w:r>
    </w:p>
    <w:p>
      <w:pPr>
        <w:contextualSpacing/>
        <w:ind w:left="142" w:firstLine="425"/>
        <w:jc w:val="center"/>
        <w:spacing w:after="240"/>
      </w:pPr>
      <w:r/>
      <w:r/>
    </w:p>
    <w:p>
      <w:pPr>
        <w:contextualSpacing/>
        <w:ind w:left="142" w:firstLine="425"/>
        <w:spacing w:after="240"/>
      </w:pPr>
      <w:r>
        <w:t xml:space="preserve"> Список информационно-правовых блоков экземпляров Систем КонсультантПлюс</w:t>
      </w:r>
      <w:r/>
    </w:p>
    <w:tbl>
      <w:tblPr>
        <w:tblW w:w="96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4465"/>
        <w:gridCol w:w="1204"/>
        <w:gridCol w:w="850"/>
        <w:gridCol w:w="992"/>
        <w:gridCol w:w="1417"/>
      </w:tblGrid>
      <w:tr>
        <w:tblPrEx/>
        <w:trPr>
          <w:jc w:val="center"/>
          <w:trHeight w:val="161"/>
        </w:trPr>
        <w:tc>
          <w:tcPr>
            <w:tcW w:w="696" w:type="dxa"/>
            <w:vAlign w:val="center"/>
            <w:textDirection w:val="lrTb"/>
            <w:noWrap w:val="false"/>
          </w:tcPr>
          <w:p>
            <w:pPr>
              <w:contextualSpacing/>
              <w:ind w:left="108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№ п/п</w:t>
            </w:r>
            <w:r>
              <w:rPr>
                <w:b/>
                <w:bCs/>
                <w:iCs/>
                <w:sz w:val="20"/>
                <w:szCs w:val="20"/>
              </w:rPr>
            </w:r>
            <w:r>
              <w:rPr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4465" w:type="dxa"/>
            <w:vAlign w:val="center"/>
            <w:textDirection w:val="lrTb"/>
            <w:noWrap w:val="false"/>
          </w:tcPr>
          <w:p>
            <w:pPr>
              <w:contextualSpacing/>
              <w:ind w:left="108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Системы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contextualSpacing/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Версия Системы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contextualSpacing/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Кол-во </w:t>
            </w:r>
            <w:r>
              <w:rPr>
                <w:b/>
                <w:sz w:val="20"/>
                <w:szCs w:val="20"/>
              </w:rPr>
              <w:t xml:space="preserve">шт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contextualSpacing/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Сумма в месяц, без НДС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Итого, стоимость за 12 мес. без НДС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69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465" w:type="dxa"/>
            <w:vAlign w:val="center"/>
            <w:textDirection w:val="lrTb"/>
            <w:noWrap w:val="false"/>
          </w:tcPr>
          <w:p>
            <w:pPr>
              <w:pStyle w:val="940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Лицензия (право) на справочно-правовой системы (СПС, программного обеспечения, ПО) КонсультантПлюс для поиска и работы с правовой информацией,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-версия, формат поставки электронный, на 10 конкурентных пользователей из 100 пользовательских учетных записей (ОВМ (ОД10)), на 12мес (1год), КОНСУЛЬТАНТПЛЮС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Консультант Бизнес: Версия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Проф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-версия, на 100 пользователей, на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мес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r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ОВМ10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contextualSpacing/>
              <w:ind w:left="-38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tcW w:w="69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465" w:type="dxa"/>
            <w:vAlign w:val="center"/>
            <w:textDirection w:val="lrTb"/>
            <w:noWrap w:val="false"/>
          </w:tcPr>
          <w:p>
            <w:pPr>
              <w:pStyle w:val="940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Лицензия (право) на использование дополнительная (расширение)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КонсультантПлюс: Эксперт-приложение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добавления информационных банков (ИБ)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Эксперт-приложение и Отраслевые технические нормы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справочно-правовой системы (СПС, программного обеспечения, ПО) КонсультантПлюс для поиска и работы с правовой информацией,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-версия, формат поставки электронный, на 10 конкурентных пользователей из 100 пользовательских учетных записей (ОВМ (ОД10)), на 12мес (1год), КОНСУЛЬТАНТПЛЮС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КонсультантПлюс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: Эксперт-приложение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-версия, на 100 пользователей, на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мес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r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ОВМ10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tcW w:w="69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465" w:type="dxa"/>
            <w:vAlign w:val="center"/>
            <w:textDirection w:val="lrTb"/>
            <w:noWrap w:val="false"/>
          </w:tcPr>
          <w:p>
            <w:pPr>
              <w:rPr>
                <w:sz w:val="15"/>
                <w:szCs w:val="15"/>
              </w:rPr>
            </w:pPr>
            <w:r>
              <w:rPr>
                <w:color w:val="000000"/>
                <w:sz w:val="20"/>
                <w:szCs w:val="20"/>
              </w:rPr>
              <w:t xml:space="preserve">Лицензия (право) на использование справочной системы </w:t>
            </w:r>
            <w:r>
              <w:rPr>
                <w:b/>
                <w:color w:val="000000"/>
                <w:sz w:val="20"/>
                <w:szCs w:val="20"/>
              </w:rPr>
              <w:t xml:space="preserve">(СС) КонсультантПлюс: Проекты правовых актов </w:t>
            </w:r>
            <w:r>
              <w:rPr>
                <w:color w:val="000000"/>
                <w:sz w:val="20"/>
                <w:szCs w:val="20"/>
              </w:rPr>
              <w:t xml:space="preserve">для добавления информационных банков (ИБ) </w:t>
            </w:r>
            <w:r>
              <w:rPr>
                <w:b/>
                <w:color w:val="000000"/>
                <w:sz w:val="20"/>
                <w:szCs w:val="20"/>
              </w:rPr>
              <w:t xml:space="preserve">законопроектов и подзаконных нормативных актов Правительства РФ, Банка России и др.</w:t>
            </w:r>
            <w:r>
              <w:rPr>
                <w:color w:val="000000"/>
                <w:sz w:val="20"/>
                <w:szCs w:val="20"/>
              </w:rPr>
              <w:t xml:space="preserve"> справочно-правовой системы (СПС, программного обеспечения, ПО) КонсультантПлюс для поиска и работы с правовой информацией,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формат поставки электронный, на 10 конкурентных пользователей из 100 пользовательских учетных записей (ОВМ (ОД10)), на 12мес (1год), КОНСУЛЬТАНТПЛЮС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КонсультантПлюс</w:t>
            </w:r>
            <w:r>
              <w:rPr>
                <w:b/>
                <w:color w:val="000000"/>
                <w:sz w:val="20"/>
                <w:szCs w:val="20"/>
              </w:rPr>
              <w:t xml:space="preserve">: Проекты правовых актов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на 10 пользователей, на 12 </w:t>
            </w:r>
            <w:r>
              <w:rPr>
                <w:color w:val="000000"/>
                <w:sz w:val="20"/>
                <w:szCs w:val="20"/>
              </w:rPr>
              <w:t xml:space="preserve">мес</w:t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ОВМ10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tcW w:w="69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46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Arial" w:hAnsi="Arial" w:eastAsia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/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  <w:t xml:space="preserve">Лицензия (право) на использование дополнительная (расширение)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КонсультантПлюс: Международное право</w:t>
            </w:r>
            <w:r>
              <w:rPr>
                <w:color w:val="000000"/>
                <w:sz w:val="20"/>
                <w:szCs w:val="20"/>
              </w:rPr>
              <w:t xml:space="preserve"> для добавления информационных банков (ИБ) </w:t>
            </w:r>
            <w:r>
              <w:rPr>
                <w:b/>
                <w:color w:val="000000"/>
                <w:sz w:val="20"/>
                <w:szCs w:val="20"/>
              </w:rPr>
              <w:t xml:space="preserve">договоров и международных документов</w:t>
            </w:r>
            <w:r>
              <w:rPr>
                <w:color w:val="000000"/>
                <w:sz w:val="20"/>
                <w:szCs w:val="20"/>
              </w:rPr>
              <w:t xml:space="preserve"> справочно-правовой системы (СПС, программного обеспечения, ПО) КонсультантПлюс для поиска и работы с правовой информацией,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формат поставки электронный, на 10 конкурентных пользователей из 100 пользовательских учетных записей (ОВМ (ОД10)), на 12мес (1год), КОНСУЛЬТАНТПЛЮС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КонсультантПлюс</w:t>
            </w:r>
            <w:r>
              <w:rPr>
                <w:b/>
                <w:color w:val="000000"/>
                <w:sz w:val="20"/>
                <w:szCs w:val="20"/>
              </w:rPr>
              <w:t xml:space="preserve">: Международное право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на 100 пользователей, на 12 </w:t>
            </w:r>
            <w:r>
              <w:rPr>
                <w:color w:val="000000"/>
                <w:sz w:val="20"/>
                <w:szCs w:val="20"/>
              </w:rPr>
              <w:t xml:space="preserve">мес</w:t>
            </w:r>
            <w:r>
              <w:rPr>
                <w:rFonts w:ascii="Arial" w:hAnsi="Arial" w:eastAsia="Arial"/>
                <w:color w:val="000000"/>
                <w:sz w:val="20"/>
                <w:szCs w:val="20"/>
              </w:rPr>
            </w:r>
            <w:r>
              <w:rPr>
                <w:rFonts w:ascii="Arial" w:hAnsi="Arial" w:eastAsia="Arial"/>
                <w:color w:val="000000"/>
                <w:sz w:val="20"/>
                <w:szCs w:val="20"/>
              </w:rPr>
            </w:r>
          </w:p>
        </w:tc>
        <w:tc>
          <w:tcPr>
            <w:tcW w:w="120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ОВМ10</w:t>
            </w:r>
            <w:r/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tcW w:w="69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5.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4465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15"/>
                <w:szCs w:val="15"/>
              </w:rPr>
            </w:pPr>
            <w:r>
              <w:rPr>
                <w:color w:val="000000"/>
                <w:sz w:val="20"/>
                <w:szCs w:val="20"/>
              </w:rPr>
              <w:t xml:space="preserve">Лицензия (право) на использование дополнительная (расширение)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КонсультантПлюс: Документы СССР</w:t>
            </w:r>
            <w:r>
              <w:rPr>
                <w:color w:val="000000"/>
                <w:sz w:val="20"/>
                <w:szCs w:val="20"/>
              </w:rPr>
              <w:t xml:space="preserve"> для добавления информационных банков (ИБ) </w:t>
            </w:r>
            <w:r>
              <w:rPr>
                <w:b/>
                <w:color w:val="000000"/>
                <w:sz w:val="20"/>
                <w:szCs w:val="20"/>
              </w:rPr>
              <w:t xml:space="preserve">документов, принятых с 1917 по 1991 гг.,</w:t>
            </w:r>
            <w:r>
              <w:rPr>
                <w:color w:val="000000"/>
                <w:sz w:val="20"/>
                <w:szCs w:val="20"/>
              </w:rPr>
              <w:t xml:space="preserve"> справочно-правовой системы (СПС, программного обеспечения, ПО) КонсультантПлюс для поиска и работы с правовой информацией,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формат поставки электронный, на 10 конкурентных пользователей из 100 пользовательских учетных записей (ОВМ (ОД10)), на 12мес (1год), КОНСУЛЬТАНТПЛЮС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КонсультантПлюс</w:t>
            </w:r>
            <w:r>
              <w:rPr>
                <w:b/>
                <w:color w:val="000000"/>
                <w:sz w:val="20"/>
                <w:szCs w:val="20"/>
              </w:rPr>
              <w:t xml:space="preserve">: Документы СССР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на 100 пользователей, на 12 </w:t>
            </w:r>
            <w:r>
              <w:rPr>
                <w:color w:val="000000"/>
                <w:sz w:val="20"/>
                <w:szCs w:val="20"/>
              </w:rPr>
              <w:t xml:space="preserve">мес</w:t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tcW w:w="120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ОВМ10</w:t>
            </w:r>
            <w:r/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tcW w:w="69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465" w:type="dxa"/>
            <w:vAlign w:val="center"/>
            <w:textDirection w:val="lrTb"/>
            <w:noWrap w:val="false"/>
          </w:tcPr>
          <w:p>
            <w:pPr>
              <w:rPr>
                <w:sz w:val="15"/>
                <w:szCs w:val="15"/>
              </w:rPr>
            </w:pPr>
            <w:r>
              <w:rPr>
                <w:color w:val="000000"/>
                <w:sz w:val="20"/>
                <w:szCs w:val="20"/>
              </w:rPr>
              <w:t xml:space="preserve">Лицензия (право) на использование дополнительная (расширение)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КонсультантПлюс: Москва </w:t>
            </w:r>
            <w:r>
              <w:rPr>
                <w:b/>
                <w:color w:val="000000"/>
                <w:sz w:val="20"/>
                <w:szCs w:val="20"/>
              </w:rPr>
              <w:t xml:space="preserve">Проф</w:t>
            </w:r>
            <w:r>
              <w:rPr>
                <w:color w:val="000000"/>
                <w:sz w:val="20"/>
                <w:szCs w:val="20"/>
              </w:rPr>
              <w:t xml:space="preserve"> для добавления информационных банков (ИБ) </w:t>
            </w:r>
            <w:r>
              <w:rPr>
                <w:b/>
                <w:color w:val="000000"/>
                <w:sz w:val="20"/>
                <w:szCs w:val="20"/>
              </w:rPr>
              <w:t xml:space="preserve">нормативных актов </w:t>
            </w:r>
            <w:r>
              <w:rPr>
                <w:b/>
                <w:color w:val="000000"/>
                <w:sz w:val="20"/>
                <w:szCs w:val="20"/>
              </w:rPr>
              <w:t xml:space="preserve">г.Москвы</w:t>
            </w:r>
            <w:r>
              <w:rPr>
                <w:color w:val="000000"/>
                <w:sz w:val="20"/>
                <w:szCs w:val="20"/>
              </w:rPr>
              <w:t xml:space="preserve"> справочно-правовой системы (СПС, программного обеспечения, ПО) КонсультантПлюс для поиска и работы с правовой информацией,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формат поставки электронный, на 10 конкурентных пользователей из 100 пользовательских учетных записей (ОВМ (ОД10)), на 12мес (1год), КОНСУЛЬТАНТПЛЮС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КонсультантПлюс</w:t>
            </w:r>
            <w:r>
              <w:rPr>
                <w:b/>
                <w:color w:val="000000"/>
                <w:sz w:val="20"/>
                <w:szCs w:val="20"/>
              </w:rPr>
              <w:t xml:space="preserve">: Москва </w:t>
            </w:r>
            <w:r>
              <w:rPr>
                <w:b/>
                <w:color w:val="000000"/>
                <w:sz w:val="20"/>
                <w:szCs w:val="20"/>
              </w:rPr>
              <w:t xml:space="preserve">Проф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на 100 пользователей, на 12 </w:t>
            </w:r>
            <w:r>
              <w:rPr>
                <w:color w:val="000000"/>
                <w:sz w:val="20"/>
                <w:szCs w:val="20"/>
              </w:rPr>
              <w:t xml:space="preserve">мес</w:t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ОВМ10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tcW w:w="69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465" w:type="dxa"/>
            <w:vAlign w:val="center"/>
            <w:textDirection w:val="lrTb"/>
            <w:noWrap w:val="false"/>
          </w:tcPr>
          <w:p>
            <w:pPr>
              <w:rPr>
                <w:sz w:val="15"/>
                <w:szCs w:val="15"/>
              </w:rPr>
            </w:pPr>
            <w:r>
              <w:rPr>
                <w:color w:val="000000"/>
                <w:sz w:val="20"/>
                <w:szCs w:val="20"/>
              </w:rPr>
              <w:t xml:space="preserve">Лицензия (право) на использование дополнительная (расширение)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КонсультантПлюс: Московская область</w:t>
            </w:r>
            <w:r>
              <w:rPr>
                <w:color w:val="000000"/>
                <w:sz w:val="20"/>
                <w:szCs w:val="20"/>
              </w:rPr>
              <w:t xml:space="preserve"> для добавления информационных банков (ИБ) </w:t>
            </w:r>
            <w:r>
              <w:rPr>
                <w:b/>
                <w:color w:val="000000"/>
                <w:sz w:val="20"/>
                <w:szCs w:val="20"/>
              </w:rPr>
              <w:t xml:space="preserve">законов и подзаконных актов Московской области</w:t>
            </w:r>
            <w:r>
              <w:rPr>
                <w:color w:val="000000"/>
                <w:sz w:val="20"/>
                <w:szCs w:val="20"/>
              </w:rPr>
              <w:t xml:space="preserve"> справочно-правовой системы (СПС, программного обеспечения, ПО) КонсультантПлюс для поиска и работы с правовой информацией,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формат поставки электронный, на 10 конкурентных пользователей из 100 пользовательских учетных записей (ОВМ (ОД10)), на 12мес (1год), КОНСУЛЬТАНТПЛЮС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КонсультантПлюс</w:t>
            </w:r>
            <w:r>
              <w:rPr>
                <w:b/>
                <w:color w:val="000000"/>
                <w:sz w:val="20"/>
                <w:szCs w:val="20"/>
              </w:rPr>
              <w:t xml:space="preserve">: Московская область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на 100 пользователей, на 12 </w:t>
            </w:r>
            <w:r>
              <w:rPr>
                <w:color w:val="000000"/>
                <w:sz w:val="20"/>
                <w:szCs w:val="20"/>
              </w:rPr>
              <w:t xml:space="preserve">мес</w:t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ОВМ10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tcW w:w="69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465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15"/>
                <w:szCs w:val="15"/>
              </w:rPr>
            </w:pPr>
            <w:r>
              <w:rPr>
                <w:color w:val="000000"/>
                <w:sz w:val="20"/>
                <w:szCs w:val="20"/>
              </w:rPr>
              <w:t xml:space="preserve">Лицензия (право) на использование дополнительная (расширение)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КонсультантПлюс: Сводное региональное законодательство</w:t>
            </w:r>
            <w:r>
              <w:rPr>
                <w:color w:val="000000"/>
                <w:sz w:val="20"/>
                <w:szCs w:val="20"/>
              </w:rPr>
              <w:t xml:space="preserve"> для добавления информационных банков (ИБ), </w:t>
            </w:r>
            <w:r>
              <w:rPr>
                <w:b/>
                <w:color w:val="000000"/>
                <w:sz w:val="20"/>
                <w:szCs w:val="20"/>
              </w:rPr>
              <w:t xml:space="preserve">объединенные по законодательству 85-и субъектов РФ, </w:t>
            </w:r>
            <w:r>
              <w:rPr>
                <w:color w:val="000000"/>
                <w:sz w:val="20"/>
                <w:szCs w:val="20"/>
              </w:rPr>
              <w:t xml:space="preserve">справочно-правовой системы (СПС, программного обеспечения, ПО) КонсультантПлюс для поиска и работы с правовой информацией,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формат поставки электронный, на 10 конкурентных пользователей из 100 пользовательских учетных записей (ОВМ (ОД10)), на 12мес (1год), КОНСУЛЬТАНТПЛЮС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КонсультантПлюс</w:t>
            </w:r>
            <w:r>
              <w:rPr>
                <w:b/>
                <w:color w:val="000000"/>
                <w:sz w:val="20"/>
                <w:szCs w:val="20"/>
              </w:rPr>
              <w:t xml:space="preserve">: Сводное региональное законодательство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на 100 пользователей, на 12 </w:t>
            </w:r>
            <w:r>
              <w:rPr>
                <w:color w:val="000000"/>
                <w:sz w:val="20"/>
                <w:szCs w:val="20"/>
              </w:rPr>
              <w:t xml:space="preserve">мес</w:t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tcW w:w="120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ОВМ10</w:t>
            </w:r>
            <w:r/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tcW w:w="69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465" w:type="dxa"/>
            <w:vAlign w:val="center"/>
            <w:textDirection w:val="lrTb"/>
            <w:noWrap w:val="false"/>
          </w:tcPr>
          <w:p>
            <w:pPr>
              <w:rPr>
                <w:sz w:val="15"/>
                <w:szCs w:val="15"/>
              </w:rPr>
            </w:pPr>
            <w:r>
              <w:rPr>
                <w:color w:val="000000"/>
                <w:sz w:val="20"/>
                <w:szCs w:val="20"/>
              </w:rPr>
              <w:t xml:space="preserve">Лицензия (право) на использование справочной системы </w:t>
            </w:r>
            <w:r>
              <w:rPr>
                <w:b/>
                <w:color w:val="000000"/>
                <w:sz w:val="20"/>
                <w:szCs w:val="20"/>
              </w:rPr>
              <w:t xml:space="preserve">(СС)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КонсультантБухгалтер</w:t>
            </w:r>
            <w:r>
              <w:rPr>
                <w:b/>
                <w:color w:val="000000"/>
                <w:sz w:val="20"/>
                <w:szCs w:val="20"/>
              </w:rPr>
              <w:t xml:space="preserve">: Корреспонденция счетов </w:t>
            </w:r>
            <w:r>
              <w:rPr>
                <w:color w:val="000000"/>
                <w:sz w:val="20"/>
                <w:szCs w:val="20"/>
              </w:rPr>
              <w:t xml:space="preserve">для добавления информационных банков (ИБ) </w:t>
            </w:r>
            <w:r>
              <w:rPr>
                <w:b/>
                <w:color w:val="000000"/>
                <w:sz w:val="20"/>
                <w:szCs w:val="20"/>
              </w:rPr>
              <w:t xml:space="preserve">разъяснений по бухгалтерскому учету и налогообложению</w:t>
            </w:r>
            <w:r>
              <w:rPr>
                <w:color w:val="000000"/>
                <w:sz w:val="20"/>
                <w:szCs w:val="20"/>
              </w:rPr>
              <w:t xml:space="preserve"> справочно-правовой системы (СПС, программного обеспечения, ПО) КонсультантПлюс для поиска и работы с правовой информацией,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формат поставки электронный, на 10 конкурентных пользователей из 100 пользовательских учетных записей (ОВМ (ОД10)), на 12мес (1год), КОНСУЛЬТАНТПЛЮС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КонсультантБухгалтер</w:t>
            </w:r>
            <w:r>
              <w:rPr>
                <w:b/>
                <w:color w:val="000000"/>
                <w:sz w:val="20"/>
                <w:szCs w:val="20"/>
              </w:rPr>
              <w:t xml:space="preserve">: Корреспонденция счетов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на 100 пользователей, на 12 </w:t>
            </w:r>
            <w:r>
              <w:rPr>
                <w:color w:val="000000"/>
                <w:sz w:val="20"/>
                <w:szCs w:val="20"/>
              </w:rPr>
              <w:t xml:space="preserve">мес</w:t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ОВМ10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tcW w:w="69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465" w:type="dxa"/>
            <w:vAlign w:val="center"/>
            <w:textDirection w:val="lrTb"/>
            <w:noWrap w:val="false"/>
          </w:tcPr>
          <w:p>
            <w:pPr>
              <w:pStyle w:val="94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Лицензия (право) на использование справочной системы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(СС)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КонсультантАрбитраж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: Арбитражные суды всех округов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для добавления информационных банков (ИБ)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судебных актов арбитражных судов федеральных округов РФ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справочно-правовой системы (СПС, программного обеспечения, ПО) КонсультантПлюс для поиска и работы с правовой информацией,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-версия, формат поставки электронный, на 10 конкурентных пользователей из 100 пользовательских учетных записей (ОВМ (ОД10)), на 12мес (1год), КОНСУЛЬТАНТПЛЮС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КонсультантАрбитраж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: Арбитражные суды всех 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-версия, на 100 пользователей, на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мес</w:t>
            </w:r>
            <w:r>
              <w:rPr>
                <w:rFonts w:ascii="Times New Roman" w:hAnsi="Times New Roman" w:cs="Times New Roman"/>
                <w:sz w:val="15"/>
                <w:szCs w:val="15"/>
              </w:rPr>
            </w:r>
            <w:r>
              <w:rPr>
                <w:rFonts w:ascii="Times New Roman" w:hAnsi="Times New Roman" w:cs="Times New Roman"/>
                <w:sz w:val="15"/>
                <w:szCs w:val="15"/>
              </w:rPr>
            </w:r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ОВМ10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tcW w:w="69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465" w:type="dxa"/>
            <w:vAlign w:val="center"/>
            <w:textDirection w:val="lrTb"/>
            <w:noWrap w:val="false"/>
          </w:tcPr>
          <w:p>
            <w:pPr>
              <w:pStyle w:val="94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Лицензия (право) на использование справочной системы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(СС)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КонсультантАрбитраж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: Все апелляционные суды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добавления информационных банков (ИБ)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судебных актов апелляционных судов РФ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справочно-правовой системы (СПС, программного обеспечения, ПО) КонсультантПлюс для поиска и работы с правовой информацией,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-версия, формат поставки электронный, на 10 конкурентных пользователей из 100 пользовательских учетных записей (ОВМ (ОД10)), на 12мес (1год), КОНСУЛЬТАНТПЛЮС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КонсультантАрбитраж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: Все апелляционные суды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-версия, на 100 пользователей, на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мес</w:t>
            </w:r>
            <w:r>
              <w:rPr>
                <w:rFonts w:ascii="Times New Roman" w:hAnsi="Times New Roman" w:cs="Times New Roman"/>
                <w:sz w:val="15"/>
                <w:szCs w:val="15"/>
              </w:rPr>
            </w:r>
            <w:r>
              <w:rPr>
                <w:rFonts w:ascii="Times New Roman" w:hAnsi="Times New Roman" w:cs="Times New Roman"/>
                <w:sz w:val="15"/>
                <w:szCs w:val="15"/>
              </w:rPr>
            </w:r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ОВМ10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tcW w:w="69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465" w:type="dxa"/>
            <w:vAlign w:val="center"/>
            <w:textDirection w:val="lrTb"/>
            <w:noWrap w:val="false"/>
          </w:tcPr>
          <w:p>
            <w:pPr>
              <w:rPr>
                <w:sz w:val="15"/>
                <w:szCs w:val="15"/>
              </w:rPr>
            </w:pPr>
            <w:r>
              <w:rPr>
                <w:color w:val="000000"/>
                <w:sz w:val="20"/>
                <w:szCs w:val="20"/>
              </w:rPr>
              <w:t xml:space="preserve">Лицензия (право) на использование справочной системы </w:t>
            </w:r>
            <w:r>
              <w:rPr>
                <w:b/>
                <w:color w:val="000000"/>
                <w:sz w:val="20"/>
                <w:szCs w:val="20"/>
              </w:rPr>
              <w:t xml:space="preserve">(СС)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КонсультантСудебнаяПрактика</w:t>
            </w:r>
            <w:r>
              <w:rPr>
                <w:b/>
                <w:color w:val="000000"/>
                <w:sz w:val="20"/>
                <w:szCs w:val="20"/>
              </w:rPr>
              <w:t xml:space="preserve">: Суды общей юрисдикции всех округов </w:t>
            </w:r>
            <w:r>
              <w:rPr>
                <w:color w:val="000000"/>
                <w:sz w:val="20"/>
                <w:szCs w:val="20"/>
              </w:rPr>
              <w:t xml:space="preserve">для добавления информационного банка (ИБ) </w:t>
            </w:r>
            <w:r>
              <w:rPr>
                <w:b/>
                <w:color w:val="000000"/>
                <w:sz w:val="20"/>
                <w:szCs w:val="20"/>
              </w:rPr>
              <w:t xml:space="preserve">решений судов общей юрисдикции </w:t>
            </w:r>
            <w:r>
              <w:rPr>
                <w:color w:val="000000"/>
                <w:sz w:val="20"/>
                <w:szCs w:val="20"/>
              </w:rPr>
              <w:t xml:space="preserve">справочно-правовой системы (СПС, программного обеспечения, ПО) КонсультантПлюс для поиска и работы с правовой информацией,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формат поставки электронный, на 10 конкурентных пользователей из 100 пользовательских учетных записей (ОВМ (ОД10)), на 12мес (1год), КОНСУЛЬТАНТПЛЮС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КонсультантСудебнаяПрактика</w:t>
            </w:r>
            <w:r>
              <w:rPr>
                <w:b/>
                <w:color w:val="000000"/>
                <w:sz w:val="20"/>
                <w:szCs w:val="20"/>
              </w:rPr>
              <w:t xml:space="preserve">: Суды общей юрисдикции всех округов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на 100 пользователей, на 12 </w:t>
            </w:r>
            <w:r>
              <w:rPr>
                <w:color w:val="000000"/>
                <w:sz w:val="20"/>
                <w:szCs w:val="20"/>
              </w:rPr>
              <w:t xml:space="preserve">мес</w:t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ОВМ10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tcW w:w="69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465" w:type="dxa"/>
            <w:vAlign w:val="center"/>
            <w:textDirection w:val="lrTb"/>
            <w:noWrap w:val="false"/>
          </w:tcPr>
          <w:p>
            <w:pPr>
              <w:rPr>
                <w:sz w:val="15"/>
                <w:szCs w:val="15"/>
              </w:rPr>
            </w:pPr>
            <w:r>
              <w:rPr>
                <w:color w:val="000000"/>
                <w:sz w:val="20"/>
                <w:szCs w:val="20"/>
              </w:rPr>
              <w:t xml:space="preserve">Лицензия (право) на использование справочной системы </w:t>
            </w:r>
            <w:r>
              <w:rPr>
                <w:b/>
                <w:color w:val="000000"/>
                <w:sz w:val="20"/>
                <w:szCs w:val="20"/>
              </w:rPr>
              <w:t xml:space="preserve">(СС) КонсультантПлюс: Технические нормы </w:t>
            </w:r>
            <w:r>
              <w:rPr>
                <w:color w:val="000000"/>
                <w:sz w:val="20"/>
                <w:szCs w:val="20"/>
              </w:rPr>
              <w:t xml:space="preserve">для добавления информационного банка (ИБ) </w:t>
            </w:r>
            <w:r>
              <w:rPr>
                <w:b/>
                <w:color w:val="000000"/>
                <w:sz w:val="20"/>
                <w:szCs w:val="20"/>
              </w:rPr>
              <w:t xml:space="preserve">нормативно-технической документации и государственных стандартов </w:t>
            </w:r>
            <w:r>
              <w:rPr>
                <w:color w:val="000000"/>
                <w:sz w:val="20"/>
                <w:szCs w:val="20"/>
              </w:rPr>
              <w:t xml:space="preserve">справочно-правовой системы (СПС, программного обеспечения, ПО) КонсультантПлюс для поиска и работы с правовой информацией,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формат поставки электронный, на 10 конкурентных пользователей из 100 пользовательских учетных записей (ОВМ (ОД10)), на 12мес (1год), КОНСУЛЬТАНТПЛЮС </w:t>
            </w:r>
            <w:r>
              <w:rPr>
                <w:b/>
                <w:color w:val="000000"/>
                <w:sz w:val="20"/>
                <w:szCs w:val="20"/>
              </w:rPr>
              <w:t xml:space="preserve">КонсультантПлюс</w:t>
            </w:r>
            <w:r>
              <w:rPr>
                <w:b/>
                <w:color w:val="000000"/>
                <w:sz w:val="20"/>
                <w:szCs w:val="20"/>
              </w:rPr>
              <w:t xml:space="preserve">: Технические нормы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на 100 пользователей, на 12 </w:t>
            </w:r>
            <w:r>
              <w:rPr>
                <w:color w:val="000000"/>
                <w:sz w:val="20"/>
                <w:szCs w:val="20"/>
              </w:rPr>
              <w:t xml:space="preserve">мес</w:t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ОВМ10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tcW w:w="69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46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Arial" w:hAnsi="Arial" w:eastAsia="Arial"/>
                <w:b/>
                <w:color w:val="000000"/>
                <w:sz w:val="20"/>
                <w:szCs w:val="20"/>
              </w:rPr>
            </w:pPr>
            <w:r>
              <w:rPr>
                <w:rFonts w:ascii="Segoe UI" w:hAnsi="Segoe UI" w:eastAsia="Segoe UI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Лицензия (право) на использование справочной системы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(СС) Деловые бумаги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добавления информационного банка (ИБ)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типовых форм и образцов заполнения 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справочно-правовой системы (СПС, программного обеспечения, ПО) КонсультантПлюс для поиска и работы с правовой информацией,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-версия, формат поставки электронный, на 10 конкурентных пользователей из 100 пользовательских учетных записей (ОВМ (ОД10)), на 12мес (1год), КОНСУЛЬТАНТПЛЮС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Деловые бумаги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-версия, на 100 пользователей, на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мес</w:t>
            </w:r>
            <w:r>
              <w:rPr>
                <w:rFonts w:ascii="Arial" w:hAnsi="Arial" w:eastAsia="Arial"/>
                <w:b/>
                <w:color w:val="000000"/>
                <w:sz w:val="20"/>
                <w:szCs w:val="20"/>
              </w:rPr>
            </w:r>
            <w:r>
              <w:rPr>
                <w:rFonts w:ascii="Arial" w:hAnsi="Arial" w:eastAsia="Arial"/>
                <w:b/>
                <w:color w:val="000000"/>
                <w:sz w:val="20"/>
                <w:szCs w:val="20"/>
              </w:rPr>
            </w:r>
          </w:p>
        </w:tc>
        <w:tc>
          <w:tcPr>
            <w:tcW w:w="120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ОВМ10</w:t>
            </w:r>
            <w:r/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tcW w:w="69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465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15"/>
                <w:szCs w:val="15"/>
              </w:rPr>
            </w:pPr>
            <w:r>
              <w:rPr>
                <w:color w:val="000000"/>
                <w:sz w:val="20"/>
                <w:szCs w:val="20"/>
              </w:rPr>
              <w:t xml:space="preserve">Лицензия (право) на использование справочной системы </w:t>
            </w:r>
            <w:r>
              <w:rPr>
                <w:b/>
                <w:color w:val="000000"/>
                <w:sz w:val="20"/>
                <w:szCs w:val="20"/>
              </w:rPr>
              <w:t xml:space="preserve">(СС) Перспективы и риски арбитражных споров </w:t>
            </w:r>
            <w:r>
              <w:rPr>
                <w:color w:val="000000"/>
                <w:sz w:val="20"/>
                <w:szCs w:val="20"/>
              </w:rPr>
              <w:t xml:space="preserve">для добавления информационного банка (ИБ) </w:t>
            </w:r>
            <w:r>
              <w:rPr>
                <w:b/>
                <w:color w:val="000000"/>
                <w:sz w:val="20"/>
                <w:szCs w:val="20"/>
              </w:rPr>
              <w:t xml:space="preserve">фирменных аналитических материалов,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 xml:space="preserve">позволяющих оценить перспективы споров в арбитражных судах, </w:t>
            </w:r>
            <w:r>
              <w:rPr>
                <w:color w:val="000000"/>
                <w:sz w:val="20"/>
                <w:szCs w:val="20"/>
              </w:rPr>
              <w:t xml:space="preserve">справочно-правовой системы (СПС, программного обеспечения, ПО) КонсультантПлюс для поиска и работы с правовой информацией,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формат поставки электронный, на 10 конкурентных пользователей из 100 пользовательских учетных записей (ОВМ (ОД10)), на 12мес (1год), КОНСУЛЬТАНТПЛЮС </w:t>
            </w:r>
            <w:r>
              <w:rPr>
                <w:b/>
                <w:color w:val="000000"/>
                <w:sz w:val="20"/>
                <w:szCs w:val="20"/>
              </w:rPr>
              <w:t xml:space="preserve">Перспективы и риски арбитражных споров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web</w:t>
            </w:r>
            <w:r>
              <w:rPr>
                <w:color w:val="000000"/>
                <w:sz w:val="20"/>
                <w:szCs w:val="20"/>
              </w:rPr>
              <w:t xml:space="preserve">-версия, на 100 пользователей, на 12 </w:t>
            </w:r>
            <w:r>
              <w:rPr>
                <w:color w:val="000000"/>
                <w:sz w:val="20"/>
                <w:szCs w:val="20"/>
              </w:rPr>
              <w:t xml:space="preserve">мес</w:t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tcW w:w="120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ОВМ10</w:t>
            </w:r>
            <w:r/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gridSpan w:val="4"/>
            <w:tcW w:w="7216" w:type="dxa"/>
            <w:vAlign w:val="bottom"/>
            <w:textDirection w:val="lrTb"/>
            <w:noWrap w:val="false"/>
          </w:tcPr>
          <w:p>
            <w:pPr>
              <w:contextualSpacing/>
              <w:ind w:left="-5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Итого, стоимость предложения Участника, руб. без НДС: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contextualSpacing/>
              <w:ind w:left="-5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851" w:right="849" w:bottom="1105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Verdana">
    <w:panose1 w:val="020B060403050404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Calibri Light">
    <w:panose1 w:val="020F0502020204030204"/>
  </w:font>
  <w:font w:name="Arial">
    <w:panose1 w:val="020B0604020202020204"/>
  </w:font>
  <w:font w:name="Times New Roman">
    <w:panose1 w:val="02020603050405020304"/>
  </w:font>
  <w:font w:name="Gelvetsky 12pt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cs="Times New Roman"/>
      </w:rPr>
    </w:lvl>
    <w:lvl w:ilvl="1">
      <w:start w:val="5"/>
      <w:numFmt w:val="decimal"/>
      <w:isLgl w:val="false"/>
      <w:suff w:val="tab"/>
      <w:lvlText w:val="%1.%2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pStyle w:val="920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ascii="Times New Roman" w:hAnsi="Times New Roman" w:cs="Times New Roman"/>
        <w:b w:val="0"/>
        <w:sz w:val="22"/>
        <w:szCs w:val="22"/>
      </w:rPr>
    </w:lvl>
    <w:lvl w:ilvl="1">
      <w:start w:val="1"/>
      <w:numFmt w:val="decimal"/>
      <w:pStyle w:val="921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cs="Times New Roman"/>
      </w:rPr>
    </w:lvl>
    <w:lvl w:ilvl="2">
      <w:start w:val="1"/>
      <w:numFmt w:val="decimal"/>
      <w:pStyle w:val="741"/>
      <w:isLgl w:val="false"/>
      <w:suff w:val="tab"/>
      <w:lvlText w:val="%1.%2.%3."/>
      <w:lvlJc w:val="left"/>
      <w:pPr>
        <w:ind w:left="720" w:hanging="720"/>
        <w:tabs>
          <w:tab w:val="num" w:pos="170" w:leader="none"/>
        </w:tabs>
      </w:pPr>
      <w:rPr>
        <w:rFonts w:ascii="Times New Roman" w:hAnsi="Times New Roman" w:cs="Times New Roman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isLgl w:val="false"/>
      <w:suff w:val="tab"/>
      <w:lvlText w:val="%4)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cs="Times New Roman"/>
        <w:b w:val="0"/>
        <w:sz w:val="20"/>
        <w:szCs w:val="20"/>
      </w:rPr>
    </w:lvl>
    <w:lvl w:ilvl="4">
      <w:start w:val="1"/>
      <w:numFmt w:val="thaiNumbers"/>
      <w:isLgl w:val="false"/>
      <w:suff w:val="tab"/>
      <w:lvlText w:val="%5)"/>
      <w:lvlJc w:val="left"/>
      <w:pPr>
        <w:ind w:left="1800" w:hanging="360"/>
        <w:tabs>
          <w:tab w:val="num" w:pos="1800" w:leader="none"/>
        </w:tabs>
      </w:pPr>
      <w:rPr>
        <w:rFonts w:cs="Times New Roman"/>
        <w:sz w:val="26"/>
        <w:szCs w:val="26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841" w:hanging="360"/>
      </w:pPr>
      <w:rPr>
        <w:rFonts w:ascii="Symbol" w:hAnsi="Symbol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77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753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88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65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801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577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713" w:hanging="180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481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0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92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64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6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8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80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52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241" w:hanging="180"/>
      </w:pPr>
      <w:rPr>
        <w:rFonts w:cs="Times New Roman"/>
      </w:r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788" w:hanging="360"/>
      </w:pPr>
      <w:rPr>
        <w:rFonts w:ascii="Symbol" w:hAnsi="Symbol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6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4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2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08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36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24" w:hanging="180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0" w:firstLine="0"/>
        <w:tabs>
          <w:tab w:val="num" w:pos="0" w:leader="none"/>
        </w:tabs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6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72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048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184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6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96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72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008" w:hanging="1800"/>
      </w:pPr>
      <w:rPr>
        <w:rFonts w:cs="Times New Roman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5"/>
      <w:numFmt w:val="decimal"/>
      <w:isLgl w:val="false"/>
      <w:suff w:val="tab"/>
      <w:lvlText w:val="%1.%2."/>
      <w:lvlJc w:val="left"/>
      <w:pPr>
        <w:ind w:left="1428" w:hanging="360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56" w:hanging="720"/>
      </w:pPr>
      <w:rPr>
        <w:rFonts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24" w:hanging="720"/>
      </w:pPr>
      <w:rPr>
        <w:rFonts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52" w:hanging="1080"/>
      </w:pPr>
      <w:rPr>
        <w:rFonts w:cs="Times New Roman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20" w:hanging="1080"/>
      </w:pPr>
      <w:rPr>
        <w:rFonts w:cs="Times New Roman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48" w:hanging="1440"/>
      </w:pPr>
      <w:rPr>
        <w:rFonts w:cs="Times New Roman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16" w:hanging="1440"/>
      </w:pPr>
      <w:rPr>
        <w:rFonts w:cs="Times New Roman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44" w:hanging="1800"/>
      </w:pPr>
      <w:rPr>
        <w:rFonts w:cs="Times New Roman"/>
        <w:b w:val="0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500" w:hanging="960"/>
        <w:tabs>
          <w:tab w:val="num" w:pos="1500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428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isLgl w:val="false"/>
      <w:suff w:val="tab"/>
      <w:lvlText w:val="%1.%2)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7560" w:hanging="180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isLgl w:val="false"/>
      <w:suff w:val="tab"/>
      <w:lvlText w:val="%2."/>
      <w:lvlJc w:val="left"/>
      <w:pPr>
        <w:ind w:left="6528" w:hanging="432"/>
      </w:pPr>
      <w:rPr>
        <w:rFonts w:ascii="Times New Roman" w:hAnsi="Times New Roman" w:eastAsia="Times New Roman" w:cs="Times New Roman"/>
        <w:b w:val="0"/>
        <w:i w:val="0"/>
        <w:strike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isLgl w:val="false"/>
      <w:suff w:val="tab"/>
      <w:lvlText w:val="%1.%2)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7560" w:hanging="1800"/>
      </w:pPr>
      <w:rPr>
        <w:rFonts w:cs="Times New Roman"/>
      </w:r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cs="Times New Roman"/>
      </w:rPr>
    </w:lvl>
    <w:lvl w:ilvl="1">
      <w:start w:val="5"/>
      <w:numFmt w:val="decimal"/>
      <w:isLgl w:val="false"/>
      <w:suff w:val="tab"/>
      <w:lvlText w:val="%1.%2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4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50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2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3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700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10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80" w:hanging="1800"/>
      </w:pPr>
      <w:rPr>
        <w:rFonts w:cs="Times New Roman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cs="Times New Roman"/>
      </w:rPr>
    </w:lvl>
    <w:lvl w:ilvl="1">
      <w:start w:val="4"/>
      <w:numFmt w:val="decimal"/>
      <w:isLgl w:val="false"/>
      <w:suff w:val="tab"/>
      <w:lvlText w:val="%1.%2"/>
      <w:lvlJc w:val="left"/>
      <w:pPr>
        <w:ind w:left="1065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35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0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05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70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375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40" w:hanging="1800"/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5"/>
      <w:numFmt w:val="decimal"/>
      <w:isLgl w:val="false"/>
      <w:suff w:val="tab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6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2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isLgl w:val="false"/>
      <w:suff w:val="tab"/>
      <w:lvlText w:val="%1.%2)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7560" w:hanging="1800"/>
      </w:pPr>
      <w:rPr>
        <w:rFonts w:cs="Times New Roman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0" w:firstLine="0"/>
        <w:tabs>
          <w:tab w:val="num" w:pos="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3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6"/>
      <w:numFmt w:val="decimal"/>
      <w:isLgl w:val="false"/>
      <w:suff w:val="tab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0" w:firstLine="0"/>
        <w:tabs>
          <w:tab w:val="num" w:pos="0" w:leader="none"/>
        </w:tabs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num w:numId="1">
    <w:abstractNumId w:val="1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5"/>
  </w:num>
  <w:num w:numId="5">
    <w:abstractNumId w:val="12"/>
  </w:num>
  <w:num w:numId="6">
    <w:abstractNumId w:val="5"/>
  </w:num>
  <w:num w:numId="7">
    <w:abstractNumId w:val="2"/>
  </w:num>
  <w:num w:numId="8">
    <w:abstractNumId w:val="24"/>
  </w:num>
  <w:num w:numId="9">
    <w:abstractNumId w:val="26"/>
  </w:num>
  <w:num w:numId="10">
    <w:abstractNumId w:val="8"/>
  </w:num>
  <w:num w:numId="11">
    <w:abstractNumId w:val="21"/>
  </w:num>
  <w:num w:numId="12">
    <w:abstractNumId w:val="31"/>
  </w:num>
  <w:num w:numId="13">
    <w:abstractNumId w:val="2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27"/>
  </w:num>
  <w:num w:numId="16">
    <w:abstractNumId w:val="0"/>
  </w:num>
  <w:num w:numId="17">
    <w:abstractNumId w:val="15"/>
  </w:num>
  <w:num w:numId="18">
    <w:abstractNumId w:val="6"/>
  </w:num>
  <w:num w:numId="19">
    <w:abstractNumId w:val="28"/>
  </w:num>
  <w:num w:numId="20">
    <w:abstractNumId w:val="22"/>
  </w:num>
  <w:num w:numId="21">
    <w:abstractNumId w:val="16"/>
  </w:num>
  <w:num w:numId="22">
    <w:abstractNumId w:val="13"/>
  </w:num>
  <w:num w:numId="23">
    <w:abstractNumId w:val="30"/>
  </w:num>
  <w:num w:numId="24">
    <w:abstractNumId w:val="23"/>
  </w:num>
  <w:num w:numId="25">
    <w:abstractNumId w:val="9"/>
  </w:num>
  <w:num w:numId="26">
    <w:abstractNumId w:val="10"/>
  </w:num>
  <w:num w:numId="27">
    <w:abstractNumId w:val="11"/>
  </w:num>
  <w:num w:numId="28">
    <w:abstractNumId w:val="29"/>
  </w:num>
  <w:num w:numId="29">
    <w:abstractNumId w:val="4"/>
  </w:num>
  <w:num w:numId="30">
    <w:abstractNumId w:val="7"/>
  </w:num>
  <w:num w:numId="31">
    <w:abstractNumId w:val="3"/>
  </w:num>
  <w:num w:numId="32">
    <w:abstractNumId w:val="19"/>
  </w:num>
  <w:num w:numId="33">
    <w:abstractNumId w:val="20"/>
  </w:num>
  <w:num w:numId="34">
    <w:abstractNumId w:val="32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3">
    <w:name w:val="Heading 1 Char"/>
    <w:basedOn w:val="748"/>
    <w:link w:val="739"/>
    <w:uiPriority w:val="9"/>
    <w:rPr>
      <w:rFonts w:ascii="Arial" w:hAnsi="Arial" w:eastAsia="Arial" w:cs="Arial"/>
      <w:sz w:val="40"/>
      <w:szCs w:val="40"/>
    </w:rPr>
  </w:style>
  <w:style w:type="character" w:styleId="724">
    <w:name w:val="Heading 2 Char"/>
    <w:basedOn w:val="748"/>
    <w:link w:val="740"/>
    <w:uiPriority w:val="9"/>
    <w:rPr>
      <w:rFonts w:ascii="Arial" w:hAnsi="Arial" w:eastAsia="Arial" w:cs="Arial"/>
      <w:sz w:val="34"/>
    </w:rPr>
  </w:style>
  <w:style w:type="character" w:styleId="725">
    <w:name w:val="Heading 4 Char"/>
    <w:basedOn w:val="748"/>
    <w:link w:val="742"/>
    <w:uiPriority w:val="9"/>
    <w:rPr>
      <w:rFonts w:ascii="Arial" w:hAnsi="Arial" w:eastAsia="Arial" w:cs="Arial"/>
      <w:b/>
      <w:bCs/>
      <w:sz w:val="26"/>
      <w:szCs w:val="26"/>
    </w:rPr>
  </w:style>
  <w:style w:type="character" w:styleId="726">
    <w:name w:val="Heading 5 Char"/>
    <w:basedOn w:val="748"/>
    <w:link w:val="743"/>
    <w:uiPriority w:val="9"/>
    <w:rPr>
      <w:rFonts w:ascii="Arial" w:hAnsi="Arial" w:eastAsia="Arial" w:cs="Arial"/>
      <w:b/>
      <w:bCs/>
      <w:sz w:val="24"/>
      <w:szCs w:val="24"/>
    </w:rPr>
  </w:style>
  <w:style w:type="character" w:styleId="727">
    <w:name w:val="Heading 6 Char"/>
    <w:basedOn w:val="748"/>
    <w:link w:val="744"/>
    <w:uiPriority w:val="9"/>
    <w:rPr>
      <w:rFonts w:ascii="Arial" w:hAnsi="Arial" w:eastAsia="Arial" w:cs="Arial"/>
      <w:b/>
      <w:bCs/>
      <w:sz w:val="22"/>
      <w:szCs w:val="22"/>
    </w:rPr>
  </w:style>
  <w:style w:type="character" w:styleId="728">
    <w:name w:val="Heading 7 Char"/>
    <w:basedOn w:val="748"/>
    <w:link w:val="7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9">
    <w:name w:val="Heading 8 Char"/>
    <w:basedOn w:val="748"/>
    <w:link w:val="746"/>
    <w:uiPriority w:val="9"/>
    <w:rPr>
      <w:rFonts w:ascii="Arial" w:hAnsi="Arial" w:eastAsia="Arial" w:cs="Arial"/>
      <w:i/>
      <w:iCs/>
      <w:sz w:val="22"/>
      <w:szCs w:val="22"/>
    </w:rPr>
  </w:style>
  <w:style w:type="character" w:styleId="730">
    <w:name w:val="Heading 9 Char"/>
    <w:basedOn w:val="748"/>
    <w:link w:val="747"/>
    <w:uiPriority w:val="9"/>
    <w:rPr>
      <w:rFonts w:ascii="Arial" w:hAnsi="Arial" w:eastAsia="Arial" w:cs="Arial"/>
      <w:i/>
      <w:iCs/>
      <w:sz w:val="21"/>
      <w:szCs w:val="21"/>
    </w:rPr>
  </w:style>
  <w:style w:type="character" w:styleId="731">
    <w:name w:val="Title Char"/>
    <w:basedOn w:val="748"/>
    <w:link w:val="762"/>
    <w:uiPriority w:val="10"/>
    <w:rPr>
      <w:sz w:val="48"/>
      <w:szCs w:val="48"/>
    </w:rPr>
  </w:style>
  <w:style w:type="character" w:styleId="732">
    <w:name w:val="Quote Char"/>
    <w:link w:val="766"/>
    <w:uiPriority w:val="29"/>
    <w:rPr>
      <w:i/>
    </w:rPr>
  </w:style>
  <w:style w:type="character" w:styleId="733">
    <w:name w:val="Intense Quote Char"/>
    <w:link w:val="768"/>
    <w:uiPriority w:val="30"/>
    <w:rPr>
      <w:i/>
    </w:rPr>
  </w:style>
  <w:style w:type="character" w:styleId="734">
    <w:name w:val="Header Char"/>
    <w:basedOn w:val="748"/>
    <w:link w:val="770"/>
    <w:uiPriority w:val="99"/>
  </w:style>
  <w:style w:type="character" w:styleId="735">
    <w:name w:val="Footer Char"/>
    <w:basedOn w:val="748"/>
    <w:link w:val="772"/>
    <w:uiPriority w:val="99"/>
  </w:style>
  <w:style w:type="character" w:styleId="736">
    <w:name w:val="Caption Char"/>
    <w:basedOn w:val="748"/>
    <w:link w:val="774"/>
    <w:uiPriority w:val="35"/>
    <w:rPr>
      <w:b/>
      <w:bCs/>
      <w:color w:val="4f81bd" w:themeColor="accent1"/>
      <w:sz w:val="18"/>
      <w:szCs w:val="18"/>
    </w:rPr>
  </w:style>
  <w:style w:type="character" w:styleId="737">
    <w:name w:val="Endnote Text Char"/>
    <w:link w:val="906"/>
    <w:uiPriority w:val="99"/>
    <w:rPr>
      <w:sz w:val="20"/>
    </w:rPr>
  </w:style>
  <w:style w:type="paragraph" w:styleId="738" w:default="1">
    <w:name w:val="Normal"/>
    <w:qFormat/>
    <w:rPr>
      <w:rFonts w:ascii="Times New Roman" w:hAnsi="Times New Roman" w:cs="Times New Roman"/>
      <w:sz w:val="24"/>
      <w:szCs w:val="24"/>
      <w:lang w:eastAsia="ru-RU"/>
    </w:rPr>
  </w:style>
  <w:style w:type="paragraph" w:styleId="739">
    <w:name w:val="Heading 1"/>
    <w:basedOn w:val="738"/>
    <w:next w:val="738"/>
    <w:link w:val="7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0">
    <w:name w:val="Heading 2"/>
    <w:basedOn w:val="738"/>
    <w:next w:val="738"/>
    <w:link w:val="75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1">
    <w:name w:val="Heading 3"/>
    <w:basedOn w:val="738"/>
    <w:next w:val="738"/>
    <w:link w:val="923"/>
    <w:uiPriority w:val="9"/>
    <w:qFormat/>
    <w:pPr>
      <w:numPr>
        <w:ilvl w:val="2"/>
        <w:numId w:val="1"/>
      </w:numPr>
      <w:keepNext/>
      <w:spacing w:before="240"/>
      <w:outlineLvl w:val="2"/>
    </w:pPr>
    <w:rPr>
      <w:rFonts w:ascii="Arial" w:hAnsi="Arial" w:cs="Arial"/>
      <w:b/>
      <w:bCs/>
    </w:rPr>
  </w:style>
  <w:style w:type="paragraph" w:styleId="742">
    <w:name w:val="Heading 4"/>
    <w:basedOn w:val="738"/>
    <w:next w:val="738"/>
    <w:link w:val="75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3">
    <w:name w:val="Heading 5"/>
    <w:basedOn w:val="738"/>
    <w:next w:val="738"/>
    <w:link w:val="75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44">
    <w:name w:val="Heading 6"/>
    <w:basedOn w:val="738"/>
    <w:next w:val="738"/>
    <w:link w:val="75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5">
    <w:name w:val="Heading 7"/>
    <w:basedOn w:val="738"/>
    <w:next w:val="738"/>
    <w:link w:val="75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6">
    <w:name w:val="Heading 8"/>
    <w:basedOn w:val="738"/>
    <w:next w:val="738"/>
    <w:link w:val="75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7">
    <w:name w:val="Heading 9"/>
    <w:basedOn w:val="738"/>
    <w:next w:val="738"/>
    <w:link w:val="7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8" w:default="1">
    <w:name w:val="Default Paragraph Font"/>
    <w:uiPriority w:val="1"/>
    <w:semiHidden/>
    <w:unhideWhenUsed/>
  </w:style>
  <w:style w:type="table" w:styleId="7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0" w:default="1">
    <w:name w:val="No List"/>
    <w:uiPriority w:val="99"/>
    <w:semiHidden/>
    <w:unhideWhenUsed/>
  </w:style>
  <w:style w:type="character" w:styleId="751" w:customStyle="1">
    <w:name w:val="Заголовок 1 Знак"/>
    <w:link w:val="739"/>
    <w:uiPriority w:val="9"/>
    <w:rPr>
      <w:rFonts w:ascii="Arial" w:hAnsi="Arial" w:eastAsia="Arial" w:cs="Arial"/>
      <w:sz w:val="40"/>
      <w:szCs w:val="40"/>
    </w:rPr>
  </w:style>
  <w:style w:type="character" w:styleId="752" w:customStyle="1">
    <w:name w:val="Заголовок 2 Знак"/>
    <w:link w:val="740"/>
    <w:uiPriority w:val="9"/>
    <w:rPr>
      <w:rFonts w:ascii="Arial" w:hAnsi="Arial" w:eastAsia="Arial" w:cs="Arial"/>
      <w:sz w:val="34"/>
    </w:rPr>
  </w:style>
  <w:style w:type="character" w:styleId="753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54" w:customStyle="1">
    <w:name w:val="Заголовок 4 Знак"/>
    <w:link w:val="742"/>
    <w:uiPriority w:val="9"/>
    <w:rPr>
      <w:rFonts w:ascii="Arial" w:hAnsi="Arial" w:eastAsia="Arial" w:cs="Arial"/>
      <w:b/>
      <w:bCs/>
      <w:sz w:val="26"/>
      <w:szCs w:val="26"/>
    </w:rPr>
  </w:style>
  <w:style w:type="character" w:styleId="755" w:customStyle="1">
    <w:name w:val="Заголовок 5 Знак"/>
    <w:link w:val="743"/>
    <w:uiPriority w:val="9"/>
    <w:rPr>
      <w:rFonts w:ascii="Arial" w:hAnsi="Arial" w:eastAsia="Arial" w:cs="Arial"/>
      <w:b/>
      <w:bCs/>
      <w:sz w:val="24"/>
      <w:szCs w:val="24"/>
    </w:rPr>
  </w:style>
  <w:style w:type="character" w:styleId="756" w:customStyle="1">
    <w:name w:val="Заголовок 6 Знак"/>
    <w:link w:val="744"/>
    <w:uiPriority w:val="9"/>
    <w:rPr>
      <w:rFonts w:ascii="Arial" w:hAnsi="Arial" w:eastAsia="Arial" w:cs="Arial"/>
      <w:b/>
      <w:bCs/>
      <w:sz w:val="22"/>
      <w:szCs w:val="22"/>
    </w:rPr>
  </w:style>
  <w:style w:type="character" w:styleId="757" w:customStyle="1">
    <w:name w:val="Заголовок 7 Знак"/>
    <w:link w:val="7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8" w:customStyle="1">
    <w:name w:val="Заголовок 8 Знак"/>
    <w:link w:val="746"/>
    <w:uiPriority w:val="9"/>
    <w:rPr>
      <w:rFonts w:ascii="Arial" w:hAnsi="Arial" w:eastAsia="Arial" w:cs="Arial"/>
      <w:i/>
      <w:iCs/>
      <w:sz w:val="22"/>
      <w:szCs w:val="22"/>
    </w:rPr>
  </w:style>
  <w:style w:type="character" w:styleId="759" w:customStyle="1">
    <w:name w:val="Заголовок 9 Знак"/>
    <w:link w:val="747"/>
    <w:uiPriority w:val="9"/>
    <w:rPr>
      <w:rFonts w:ascii="Arial" w:hAnsi="Arial" w:eastAsia="Arial" w:cs="Arial"/>
      <w:i/>
      <w:iCs/>
      <w:sz w:val="21"/>
      <w:szCs w:val="21"/>
    </w:rPr>
  </w:style>
  <w:style w:type="paragraph" w:styleId="760">
    <w:name w:val="List Paragraph"/>
    <w:basedOn w:val="738"/>
    <w:uiPriority w:val="34"/>
    <w:qFormat/>
    <w:pPr>
      <w:contextualSpacing/>
      <w:ind w:left="720"/>
    </w:pPr>
  </w:style>
  <w:style w:type="paragraph" w:styleId="761">
    <w:name w:val="No Spacing"/>
    <w:uiPriority w:val="1"/>
    <w:qFormat/>
    <w:rPr>
      <w:rFonts w:ascii="Times New Roman" w:hAnsi="Times New Roman" w:cs="Times New Roman"/>
      <w:sz w:val="24"/>
      <w:szCs w:val="24"/>
      <w:lang w:eastAsia="ru-RU"/>
    </w:rPr>
  </w:style>
  <w:style w:type="paragraph" w:styleId="762">
    <w:name w:val="Title"/>
    <w:basedOn w:val="738"/>
    <w:next w:val="738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 w:customStyle="1">
    <w:name w:val="Заголовок Знак"/>
    <w:link w:val="762"/>
    <w:uiPriority w:val="10"/>
    <w:rPr>
      <w:sz w:val="48"/>
      <w:szCs w:val="48"/>
    </w:rPr>
  </w:style>
  <w:style w:type="paragraph" w:styleId="764">
    <w:name w:val="Subtitle"/>
    <w:basedOn w:val="738"/>
    <w:next w:val="738"/>
    <w:link w:val="939"/>
    <w:uiPriority w:val="11"/>
    <w:qFormat/>
    <w:pPr>
      <w:jc w:val="center"/>
      <w:spacing w:after="60"/>
      <w:outlineLvl w:val="1"/>
    </w:pPr>
    <w:rPr>
      <w:rFonts w:ascii="Calibri Light" w:hAnsi="Calibri Light"/>
    </w:rPr>
  </w:style>
  <w:style w:type="character" w:styleId="765" w:customStyle="1">
    <w:name w:val="Subtitle Char"/>
    <w:uiPriority w:val="11"/>
    <w:rPr>
      <w:sz w:val="24"/>
      <w:szCs w:val="24"/>
    </w:rPr>
  </w:style>
  <w:style w:type="paragraph" w:styleId="766">
    <w:name w:val="Quote"/>
    <w:basedOn w:val="738"/>
    <w:next w:val="738"/>
    <w:link w:val="767"/>
    <w:uiPriority w:val="29"/>
    <w:qFormat/>
    <w:pPr>
      <w:ind w:left="720" w:right="720"/>
    </w:pPr>
    <w:rPr>
      <w:i/>
    </w:rPr>
  </w:style>
  <w:style w:type="character" w:styleId="767" w:customStyle="1">
    <w:name w:val="Цитата 2 Знак"/>
    <w:link w:val="766"/>
    <w:uiPriority w:val="29"/>
    <w:rPr>
      <w:i/>
    </w:rPr>
  </w:style>
  <w:style w:type="paragraph" w:styleId="768">
    <w:name w:val="Intense Quote"/>
    <w:basedOn w:val="738"/>
    <w:next w:val="738"/>
    <w:link w:val="76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9" w:customStyle="1">
    <w:name w:val="Выделенная цитата Знак"/>
    <w:link w:val="768"/>
    <w:uiPriority w:val="30"/>
    <w:rPr>
      <w:i/>
    </w:rPr>
  </w:style>
  <w:style w:type="paragraph" w:styleId="770">
    <w:name w:val="Header"/>
    <w:basedOn w:val="738"/>
    <w:link w:val="77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71" w:customStyle="1">
    <w:name w:val="Верхний колонтитул Знак"/>
    <w:link w:val="770"/>
    <w:uiPriority w:val="99"/>
  </w:style>
  <w:style w:type="paragraph" w:styleId="772">
    <w:name w:val="Footer"/>
    <w:basedOn w:val="738"/>
    <w:link w:val="77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73" w:customStyle="1">
    <w:name w:val="Нижний колонтитул Знак"/>
    <w:link w:val="772"/>
    <w:uiPriority w:val="99"/>
  </w:style>
  <w:style w:type="paragraph" w:styleId="774">
    <w:name w:val="Caption"/>
    <w:basedOn w:val="738"/>
    <w:next w:val="738"/>
    <w:link w:val="77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5" w:customStyle="1">
    <w:name w:val="Название объекта Знак"/>
    <w:link w:val="774"/>
    <w:uiPriority w:val="35"/>
    <w:rPr>
      <w:b/>
      <w:bCs/>
      <w:color w:val="4f81bd" w:themeColor="accent1"/>
      <w:sz w:val="18"/>
      <w:szCs w:val="18"/>
    </w:rPr>
  </w:style>
  <w:style w:type="table" w:styleId="776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7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8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9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0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3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5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6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7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8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9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0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8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9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0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1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2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3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4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5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6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8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9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0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1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2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3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4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2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3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4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5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6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7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8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9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0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1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2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3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4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5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6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7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8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9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0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1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2">
    <w:name w:val="Hyperlink"/>
    <w:uiPriority w:val="99"/>
    <w:unhideWhenUsed/>
    <w:rPr>
      <w:color w:val="0000ff" w:themeColor="hyperlink"/>
      <w:u w:val="single"/>
    </w:rPr>
  </w:style>
  <w:style w:type="paragraph" w:styleId="903">
    <w:name w:val="footnote text"/>
    <w:basedOn w:val="738"/>
    <w:link w:val="924"/>
    <w:uiPriority w:val="99"/>
    <w:rPr>
      <w:sz w:val="20"/>
      <w:szCs w:val="20"/>
    </w:rPr>
  </w:style>
  <w:style w:type="character" w:styleId="904" w:customStyle="1">
    <w:name w:val="Footnote Text Char"/>
    <w:uiPriority w:val="99"/>
    <w:rPr>
      <w:sz w:val="18"/>
    </w:rPr>
  </w:style>
  <w:style w:type="character" w:styleId="905">
    <w:name w:val="footnote reference"/>
    <w:uiPriority w:val="99"/>
    <w:rPr>
      <w:rFonts w:cs="Times New Roman"/>
      <w:vertAlign w:val="superscript"/>
    </w:rPr>
  </w:style>
  <w:style w:type="paragraph" w:styleId="906">
    <w:name w:val="endnote text"/>
    <w:basedOn w:val="738"/>
    <w:link w:val="907"/>
    <w:uiPriority w:val="99"/>
    <w:semiHidden/>
    <w:unhideWhenUsed/>
    <w:rPr>
      <w:sz w:val="20"/>
    </w:rPr>
  </w:style>
  <w:style w:type="character" w:styleId="907" w:customStyle="1">
    <w:name w:val="Текст концевой сноски Знак"/>
    <w:link w:val="906"/>
    <w:uiPriority w:val="99"/>
    <w:rPr>
      <w:sz w:val="20"/>
    </w:rPr>
  </w:style>
  <w:style w:type="character" w:styleId="908">
    <w:name w:val="endnote reference"/>
    <w:uiPriority w:val="99"/>
    <w:semiHidden/>
    <w:unhideWhenUsed/>
    <w:rPr>
      <w:vertAlign w:val="superscript"/>
    </w:rPr>
  </w:style>
  <w:style w:type="paragraph" w:styleId="909">
    <w:name w:val="toc 1"/>
    <w:basedOn w:val="738"/>
    <w:next w:val="738"/>
    <w:uiPriority w:val="39"/>
    <w:unhideWhenUsed/>
    <w:pPr>
      <w:spacing w:after="57"/>
    </w:pPr>
  </w:style>
  <w:style w:type="paragraph" w:styleId="910">
    <w:name w:val="toc 2"/>
    <w:basedOn w:val="738"/>
    <w:next w:val="738"/>
    <w:uiPriority w:val="39"/>
    <w:unhideWhenUsed/>
    <w:pPr>
      <w:ind w:left="283"/>
      <w:spacing w:after="57"/>
    </w:pPr>
  </w:style>
  <w:style w:type="paragraph" w:styleId="911">
    <w:name w:val="toc 3"/>
    <w:basedOn w:val="738"/>
    <w:next w:val="738"/>
    <w:uiPriority w:val="39"/>
    <w:unhideWhenUsed/>
    <w:pPr>
      <w:ind w:left="567"/>
      <w:spacing w:after="57"/>
    </w:pPr>
  </w:style>
  <w:style w:type="paragraph" w:styleId="912">
    <w:name w:val="toc 4"/>
    <w:basedOn w:val="738"/>
    <w:next w:val="738"/>
    <w:uiPriority w:val="39"/>
    <w:unhideWhenUsed/>
    <w:pPr>
      <w:ind w:left="850"/>
      <w:spacing w:after="57"/>
    </w:pPr>
  </w:style>
  <w:style w:type="paragraph" w:styleId="913">
    <w:name w:val="toc 5"/>
    <w:basedOn w:val="738"/>
    <w:next w:val="738"/>
    <w:uiPriority w:val="39"/>
    <w:unhideWhenUsed/>
    <w:pPr>
      <w:ind w:left="1134"/>
      <w:spacing w:after="57"/>
    </w:pPr>
  </w:style>
  <w:style w:type="paragraph" w:styleId="914">
    <w:name w:val="toc 6"/>
    <w:basedOn w:val="738"/>
    <w:next w:val="738"/>
    <w:uiPriority w:val="39"/>
    <w:unhideWhenUsed/>
    <w:pPr>
      <w:ind w:left="1417"/>
      <w:spacing w:after="57"/>
    </w:pPr>
  </w:style>
  <w:style w:type="paragraph" w:styleId="915">
    <w:name w:val="toc 7"/>
    <w:basedOn w:val="738"/>
    <w:next w:val="738"/>
    <w:uiPriority w:val="39"/>
    <w:unhideWhenUsed/>
    <w:pPr>
      <w:ind w:left="1701"/>
      <w:spacing w:after="57"/>
    </w:pPr>
  </w:style>
  <w:style w:type="paragraph" w:styleId="916">
    <w:name w:val="toc 8"/>
    <w:basedOn w:val="738"/>
    <w:next w:val="738"/>
    <w:uiPriority w:val="39"/>
    <w:unhideWhenUsed/>
    <w:pPr>
      <w:ind w:left="1984"/>
      <w:spacing w:after="57"/>
    </w:pPr>
  </w:style>
  <w:style w:type="paragraph" w:styleId="917">
    <w:name w:val="toc 9"/>
    <w:basedOn w:val="738"/>
    <w:next w:val="738"/>
    <w:uiPriority w:val="39"/>
    <w:unhideWhenUsed/>
    <w:pPr>
      <w:ind w:left="2268"/>
      <w:spacing w:after="57"/>
    </w:pPr>
  </w:style>
  <w:style w:type="paragraph" w:styleId="918">
    <w:name w:val="TOC Heading"/>
    <w:uiPriority w:val="39"/>
    <w:unhideWhenUsed/>
  </w:style>
  <w:style w:type="paragraph" w:styleId="919">
    <w:name w:val="table of figures"/>
    <w:basedOn w:val="738"/>
    <w:next w:val="738"/>
    <w:uiPriority w:val="99"/>
    <w:unhideWhenUsed/>
  </w:style>
  <w:style w:type="paragraph" w:styleId="920" w:customStyle="1">
    <w:name w:val="Заголовок 1;Document Header1;H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Заголовок 1 Знак Знак Знак1;ОСнЗаг1;Are Знак Знак;Гла"/>
    <w:basedOn w:val="738"/>
    <w:next w:val="738"/>
    <w:link w:val="938"/>
    <w:uiPriority w:val="9"/>
    <w:qFormat/>
    <w:pPr>
      <w:numPr>
        <w:ilvl w:val="0"/>
        <w:numId w:val="1"/>
      </w:numPr>
      <w:jc w:val="center"/>
      <w:keepNext/>
      <w:spacing w:before="240"/>
      <w:outlineLvl w:val="0"/>
    </w:pPr>
    <w:rPr>
      <w:b/>
      <w:bCs/>
      <w:sz w:val="36"/>
      <w:szCs w:val="36"/>
    </w:rPr>
  </w:style>
  <w:style w:type="paragraph" w:styleId="921" w:customStyle="1">
    <w:name w:val="Заголовок 2;H2;Знак3 Знак;Заголовок 1 + Times New Roman;14 пт;Перед:  0 пт;После:  0 пт Знак;12 пт;После:  0 пт;Заголовок 21;2;h2;Б2;RTC;iz2;Numbered text 3;HD2;Heading 2 Hidden;Gliederung2;Gliederung;Indented Heading;H21;H22;H23"/>
    <w:basedOn w:val="738"/>
    <w:next w:val="738"/>
    <w:link w:val="922"/>
    <w:uiPriority w:val="9"/>
    <w:qFormat/>
    <w:pPr>
      <w:numPr>
        <w:ilvl w:val="1"/>
        <w:numId w:val="1"/>
      </w:numPr>
      <w:jc w:val="center"/>
      <w:keepNext/>
      <w:outlineLvl w:val="1"/>
    </w:pPr>
    <w:rPr>
      <w:b/>
      <w:bCs/>
      <w:sz w:val="30"/>
      <w:szCs w:val="30"/>
    </w:rPr>
  </w:style>
  <w:style w:type="character" w:styleId="922" w:customStyle="1">
    <w:name w:val="Заголовок 2 Знак;H2 Знак;Знак3 Знак Знак;Заголовок 1 + Times New Roman Знак;14 пт Знак;Перед:  0 пт Знак;После:  0 пт Знак Знак;12 пт Знак;После:  0 пт Знак1;Заголовок 21 Знак;2 Знак;h2 Знак;Б2 Знак;RTC Знак;iz2 Знак;Numbered text 3 Знак;HD2 Знак"/>
    <w:link w:val="921"/>
    <w:uiPriority w:val="9"/>
    <w:rPr>
      <w:rFonts w:ascii="Times New Roman" w:hAnsi="Times New Roman" w:cs="Times New Roman"/>
      <w:b/>
      <w:bCs/>
      <w:sz w:val="30"/>
      <w:szCs w:val="30"/>
      <w:lang w:val="en-US" w:eastAsia="ru-RU"/>
    </w:rPr>
  </w:style>
  <w:style w:type="character" w:styleId="923" w:customStyle="1">
    <w:name w:val="Заголовок 3 Знак"/>
    <w:link w:val="741"/>
    <w:uiPriority w:val="9"/>
    <w:rPr>
      <w:rFonts w:ascii="Arial" w:hAnsi="Arial" w:cs="Arial"/>
      <w:b/>
      <w:bCs/>
      <w:sz w:val="24"/>
      <w:szCs w:val="24"/>
      <w:lang w:val="en-US" w:eastAsia="ru-RU"/>
    </w:rPr>
  </w:style>
  <w:style w:type="character" w:styleId="924" w:customStyle="1">
    <w:name w:val="Текст сноски Знак"/>
    <w:link w:val="903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character" w:styleId="925" w:customStyle="1">
    <w:name w:val="Абзац списка Знак;Булет 1 Знак;Bullet List Знак;numbered Знак;FooterText Знак;Bullet Number Знак;Нумерованый список Знак;List Paragraph1 Знак;lp1 Знак;lp11 Знак;List Paragraph11 Знак;Bullet 1 Знак;Use Case List Paragraph Знак;Paragraphe de liste1 Знак"/>
    <w:link w:val="932"/>
    <w:uiPriority w:val="34"/>
    <w:rPr>
      <w:rFonts w:ascii="Times New Roman" w:hAnsi="Times New Roman"/>
      <w:sz w:val="24"/>
      <w:lang w:val="en-US" w:eastAsia="ru-RU"/>
    </w:rPr>
  </w:style>
  <w:style w:type="paragraph" w:styleId="926" w:customStyle="1">
    <w:name w:val="ConsNormal"/>
    <w:pPr>
      <w:ind w:firstLine="720"/>
      <w:widowControl w:val="off"/>
    </w:pPr>
    <w:rPr>
      <w:rFonts w:ascii="Arial" w:hAnsi="Arial" w:cs="Arial"/>
      <w:sz w:val="16"/>
      <w:szCs w:val="16"/>
      <w:lang w:eastAsia="ru-RU"/>
    </w:rPr>
  </w:style>
  <w:style w:type="paragraph" w:styleId="927">
    <w:name w:val="Body Text Indent 3"/>
    <w:basedOn w:val="738"/>
    <w:link w:val="928"/>
    <w:uiPriority w:val="99"/>
    <w:pPr>
      <w:ind w:left="283"/>
      <w:jc w:val="both"/>
      <w:spacing w:after="120"/>
    </w:pPr>
    <w:rPr>
      <w:sz w:val="16"/>
      <w:szCs w:val="16"/>
    </w:rPr>
  </w:style>
  <w:style w:type="character" w:styleId="928" w:customStyle="1">
    <w:name w:val="Основной текст с отступом 3 Знак"/>
    <w:link w:val="927"/>
    <w:uiPriority w:val="99"/>
    <w:rPr>
      <w:rFonts w:ascii="Times New Roman" w:hAnsi="Times New Roman" w:cs="Times New Roman"/>
      <w:sz w:val="16"/>
      <w:szCs w:val="16"/>
      <w:lang w:val="en-US" w:eastAsia="ru-RU"/>
    </w:rPr>
  </w:style>
  <w:style w:type="paragraph" w:styleId="929" w:customStyle="1">
    <w:name w:val="ConsPlusNonformat"/>
    <w:rPr>
      <w:rFonts w:ascii="Courier New" w:hAnsi="Courier New" w:cs="Courier New"/>
      <w:lang w:eastAsia="ru-RU"/>
    </w:rPr>
  </w:style>
  <w:style w:type="character" w:styleId="930" w:customStyle="1">
    <w:name w:val="Обычный (веб) Знак;Обычный (Web) Знак"/>
    <w:link w:val="931"/>
    <w:rPr>
      <w:rFonts w:ascii="Times New Roman" w:hAnsi="Times New Roman"/>
      <w:sz w:val="24"/>
      <w:lang w:val="en-US" w:eastAsia="en-US"/>
    </w:rPr>
  </w:style>
  <w:style w:type="paragraph" w:styleId="931" w:customStyle="1">
    <w:name w:val="Обычный (веб);Обычный (Web)"/>
    <w:basedOn w:val="738"/>
    <w:link w:val="930"/>
    <w:uiPriority w:val="99"/>
    <w:pPr>
      <w:spacing w:before="100" w:beforeAutospacing="1" w:after="100" w:afterAutospacing="1"/>
    </w:pPr>
    <w:rPr>
      <w:lang w:eastAsia="en-US"/>
    </w:rPr>
  </w:style>
  <w:style w:type="paragraph" w:styleId="932" w:customStyle="1">
    <w:name w:val="Абзац списка;Булет 1;Bullet List;numbered;FooterText;Bullet Number;Нумерованый список;List Paragraph1;lp1;lp11;List Paragraph11;Bullet 1;Use Case List Paragraph;Paragraphe de liste1"/>
    <w:basedOn w:val="738"/>
    <w:link w:val="925"/>
    <w:uiPriority w:val="34"/>
    <w:qFormat/>
    <w:pPr>
      <w:contextualSpacing/>
      <w:ind w:left="720"/>
    </w:pPr>
  </w:style>
  <w:style w:type="character" w:styleId="933" w:customStyle="1">
    <w:name w:val="blk"/>
  </w:style>
  <w:style w:type="paragraph" w:styleId="934">
    <w:name w:val="Body Text 3"/>
    <w:basedOn w:val="738"/>
    <w:link w:val="935"/>
    <w:uiPriority w:val="99"/>
    <w:unhideWhenUsed/>
    <w:pPr>
      <w:spacing w:after="120"/>
    </w:pPr>
    <w:rPr>
      <w:sz w:val="16"/>
      <w:szCs w:val="16"/>
    </w:rPr>
  </w:style>
  <w:style w:type="character" w:styleId="935" w:customStyle="1">
    <w:name w:val="Основной текст 3 Знак"/>
    <w:link w:val="934"/>
    <w:uiPriority w:val="99"/>
    <w:rPr>
      <w:rFonts w:ascii="Times New Roman" w:hAnsi="Times New Roman" w:cs="Times New Roman"/>
      <w:sz w:val="16"/>
      <w:szCs w:val="16"/>
      <w:lang w:val="en-US" w:eastAsia="ru-RU"/>
    </w:rPr>
  </w:style>
  <w:style w:type="paragraph" w:styleId="936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37" w:customStyle="1">
    <w:name w:val="текст сноски"/>
    <w:basedOn w:val="738"/>
    <w:pPr>
      <w:widowControl w:val="off"/>
    </w:pPr>
    <w:rPr>
      <w:rFonts w:ascii="Gelvetsky 12pt" w:hAnsi="Gelvetsky 12pt"/>
      <w:lang w:val="en-US"/>
    </w:rPr>
  </w:style>
  <w:style w:type="character" w:styleId="938" w:customStyle="1">
    <w:name w:val="Заголовок 1 Знак;Document Header1 Знак;H1 Знак;Заголовок 1 Знак2 Знак Знак;Заголовок 1 Знак1 Знак Знак Знак;Заголовок 1 Знак Знак Знак Знак Знак;Заголовок 1 Знак Знак1 Знак Знак Знак;Заголовок 1 Знак Знак2 Знак Знак;Заголовок 1 Знак1 Знак1 Знак;Гла Знак"/>
    <w:link w:val="920"/>
    <w:uiPriority w:val="9"/>
    <w:rPr>
      <w:rFonts w:ascii="Times New Roman" w:hAnsi="Times New Roman" w:cs="Times New Roman"/>
      <w:b/>
      <w:bCs/>
      <w:sz w:val="36"/>
      <w:szCs w:val="36"/>
      <w:lang w:val="en-US" w:eastAsia="ru-RU"/>
    </w:rPr>
  </w:style>
  <w:style w:type="character" w:styleId="939" w:customStyle="1">
    <w:name w:val="Подзаголовок Знак"/>
    <w:link w:val="764"/>
    <w:uiPriority w:val="11"/>
    <w:rPr>
      <w:rFonts w:ascii="Calibri Light" w:hAnsi="Calibri Light" w:eastAsia="Times New Roman" w:cs="Times New Roman"/>
      <w:sz w:val="24"/>
      <w:szCs w:val="24"/>
    </w:rPr>
  </w:style>
  <w:style w:type="paragraph" w:styleId="940" w:customStyle="1">
    <w:name w:val="Normal (Web)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cs="Calibri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Respect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ussopr27</dc:creator>
  <cp:lastModifiedBy>alekseeva_evl</cp:lastModifiedBy>
  <cp:revision>6</cp:revision>
  <dcterms:created xsi:type="dcterms:W3CDTF">2025-10-23T09:21:00Z</dcterms:created>
  <dcterms:modified xsi:type="dcterms:W3CDTF">2025-10-30T14:12:41Z</dcterms:modified>
  <cp:version>1048576</cp:version>
</cp:coreProperties>
</file>